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pPr>
    </w:p>
    <w:p>
      <w:pPr>
        <w:autoSpaceDE w:val="0"/>
        <w:autoSpaceDN w:val="0"/>
        <w:spacing w:line="500" w:lineRule="atLeast"/>
        <w:jc w:val="center"/>
        <w:textAlignment w:val="bottom"/>
        <w:rPr>
          <w:rFonts w:ascii="宋体" w:hAnsi="宋体"/>
          <w:bCs/>
          <w:color w:val="000000" w:themeColor="text1"/>
          <w:sz w:val="72"/>
          <w:szCs w:val="72"/>
          <w14:textFill>
            <w14:solidFill>
              <w14:schemeClr w14:val="tx1"/>
            </w14:solidFill>
          </w14:textFill>
        </w:rPr>
      </w:pPr>
      <w:r>
        <w:rPr>
          <w:rFonts w:hint="eastAsia" w:ascii="宋体" w:hAnsi="宋体"/>
          <w:b/>
          <w:bCs/>
          <w:color w:val="000000" w:themeColor="text1"/>
          <w:spacing w:val="120"/>
          <w:sz w:val="72"/>
          <w:szCs w:val="72"/>
          <w14:textFill>
            <w14:solidFill>
              <w14:schemeClr w14:val="tx1"/>
            </w14:solidFill>
          </w14:textFill>
        </w:rPr>
        <w:t>温州市国有企业采购</w:t>
      </w:r>
    </w:p>
    <w:p>
      <w:pPr>
        <w:spacing w:line="400" w:lineRule="atLeast"/>
        <w:jc w:val="center"/>
        <w:rPr>
          <w:rFonts w:ascii="宋体" w:hAnsi="宋体"/>
          <w:b/>
          <w:color w:val="000000" w:themeColor="text1"/>
          <w:sz w:val="52"/>
          <w14:textFill>
            <w14:solidFill>
              <w14:schemeClr w14:val="tx1"/>
            </w14:solidFill>
          </w14:textFill>
        </w:rPr>
      </w:pPr>
    </w:p>
    <w:p>
      <w:pPr>
        <w:spacing w:line="400" w:lineRule="atLeast"/>
        <w:jc w:val="center"/>
        <w:rPr>
          <w:rFonts w:ascii="宋体" w:hAnsi="宋体"/>
          <w:b/>
          <w:color w:val="000000" w:themeColor="text1"/>
          <w:sz w:val="52"/>
          <w14:textFill>
            <w14:solidFill>
              <w14:schemeClr w14:val="tx1"/>
            </w14:solidFill>
          </w14:textFill>
        </w:rPr>
      </w:pPr>
    </w:p>
    <w:p>
      <w:pPr>
        <w:spacing w:line="400" w:lineRule="atLeast"/>
        <w:jc w:val="center"/>
        <w:rPr>
          <w:rFonts w:ascii="宋体" w:hAnsi="宋体"/>
          <w:b/>
          <w:color w:val="000000" w:themeColor="text1"/>
          <w:sz w:val="52"/>
          <w14:textFill>
            <w14:solidFill>
              <w14:schemeClr w14:val="tx1"/>
            </w14:solidFill>
          </w14:textFill>
        </w:rPr>
      </w:pPr>
    </w:p>
    <w:p>
      <w:pPr>
        <w:autoSpaceDE w:val="0"/>
        <w:autoSpaceDN w:val="0"/>
        <w:spacing w:line="500" w:lineRule="atLeast"/>
        <w:jc w:val="center"/>
        <w:textAlignment w:val="bottom"/>
        <w:rPr>
          <w:rFonts w:ascii="宋体" w:hAnsi="宋体"/>
          <w:b/>
          <w:color w:val="000000" w:themeColor="text1"/>
          <w:sz w:val="72"/>
          <w:szCs w:val="72"/>
          <w14:textFill>
            <w14:solidFill>
              <w14:schemeClr w14:val="tx1"/>
            </w14:solidFill>
          </w14:textFill>
        </w:rPr>
      </w:pPr>
      <w:r>
        <w:rPr>
          <w:rFonts w:hint="eastAsia" w:ascii="宋体" w:hAnsi="宋体"/>
          <w:b/>
          <w:bCs/>
          <w:color w:val="000000" w:themeColor="text1"/>
          <w:sz w:val="72"/>
          <w:szCs w:val="72"/>
          <w14:textFill>
            <w14:solidFill>
              <w14:schemeClr w14:val="tx1"/>
            </w14:solidFill>
          </w14:textFill>
        </w:rPr>
        <w:t>招 标 文 件</w:t>
      </w:r>
    </w:p>
    <w:p>
      <w:pPr>
        <w:spacing w:line="400" w:lineRule="atLeast"/>
        <w:jc w:val="center"/>
        <w:rPr>
          <w:rFonts w:ascii="宋体" w:hAnsi="宋体"/>
          <w:b/>
          <w:color w:val="000000" w:themeColor="text1"/>
          <w:sz w:val="32"/>
          <w14:textFill>
            <w14:solidFill>
              <w14:schemeClr w14:val="tx1"/>
            </w14:solidFill>
          </w14:textFill>
        </w:rPr>
      </w:pPr>
    </w:p>
    <w:p>
      <w:pPr>
        <w:jc w:val="center"/>
        <w:rPr>
          <w:rFonts w:ascii="宋体" w:hAnsi="宋体"/>
          <w:b/>
          <w:bCs/>
          <w:color w:val="000000" w:themeColor="text1"/>
          <w:sz w:val="24"/>
          <w14:textFill>
            <w14:solidFill>
              <w14:schemeClr w14:val="tx1"/>
            </w14:solidFill>
          </w14:textFill>
        </w:rPr>
      </w:pPr>
    </w:p>
    <w:p>
      <w:pPr>
        <w:jc w:val="center"/>
        <w:rPr>
          <w:rFonts w:ascii="宋体" w:hAnsi="宋体"/>
          <w:b/>
          <w:bCs/>
          <w:color w:val="000000" w:themeColor="text1"/>
          <w:sz w:val="24"/>
          <w14:textFill>
            <w14:solidFill>
              <w14:schemeClr w14:val="tx1"/>
            </w14:solidFill>
          </w14:textFill>
        </w:rPr>
      </w:pPr>
    </w:p>
    <w:p>
      <w:pPr>
        <w:jc w:val="center"/>
        <w:rPr>
          <w:rFonts w:ascii="宋体" w:hAnsi="宋体"/>
          <w:b/>
          <w:bCs/>
          <w:color w:val="000000" w:themeColor="text1"/>
          <w:sz w:val="24"/>
          <w14:textFill>
            <w14:solidFill>
              <w14:schemeClr w14:val="tx1"/>
            </w14:solidFill>
          </w14:textFill>
        </w:rPr>
      </w:pPr>
    </w:p>
    <w:p>
      <w:pPr>
        <w:jc w:val="center"/>
        <w:rPr>
          <w:rFonts w:ascii="宋体" w:hAnsi="宋体"/>
          <w:b/>
          <w:bCs/>
          <w:color w:val="000000" w:themeColor="text1"/>
          <w:sz w:val="24"/>
          <w14:textFill>
            <w14:solidFill>
              <w14:schemeClr w14:val="tx1"/>
            </w14:solidFill>
          </w14:textFill>
        </w:rPr>
      </w:pPr>
    </w:p>
    <w:p>
      <w:pPr>
        <w:tabs>
          <w:tab w:val="left" w:pos="4860"/>
        </w:tabs>
        <w:spacing w:line="600" w:lineRule="exact"/>
        <w:ind w:right="1143" w:firstLine="1700" w:firstLineChars="446"/>
        <w:jc w:val="left"/>
        <w:rPr>
          <w:rFonts w:hint="default" w:ascii="宋体" w:hAnsi="宋体" w:eastAsia="宋体"/>
          <w:b/>
          <w:color w:val="auto"/>
          <w:sz w:val="30"/>
          <w:szCs w:val="30"/>
          <w:highlight w:val="none"/>
          <w:lang w:val="en-US" w:eastAsia="zh-CN"/>
        </w:rPr>
      </w:pPr>
      <w:r>
        <w:rPr>
          <w:rFonts w:hint="eastAsia" w:ascii="宋体" w:hAnsi="宋体"/>
          <w:b/>
          <w:color w:val="auto"/>
          <w:spacing w:val="40"/>
          <w:sz w:val="30"/>
          <w:szCs w:val="30"/>
          <w:highlight w:val="none"/>
        </w:rPr>
        <w:t>招标编</w:t>
      </w:r>
      <w:r>
        <w:rPr>
          <w:rFonts w:hint="eastAsia" w:ascii="宋体" w:hAnsi="宋体" w:cs="Arial"/>
          <w:b/>
          <w:color w:val="auto"/>
          <w:spacing w:val="40"/>
          <w:sz w:val="30"/>
          <w:szCs w:val="30"/>
          <w:highlight w:val="none"/>
        </w:rPr>
        <w:t>号</w:t>
      </w:r>
      <w:r>
        <w:rPr>
          <w:rFonts w:hint="eastAsia" w:ascii="宋体" w:hAnsi="宋体"/>
          <w:b/>
          <w:color w:val="auto"/>
          <w:sz w:val="30"/>
          <w:szCs w:val="30"/>
          <w:highlight w:val="none"/>
        </w:rPr>
        <w:t>：</w:t>
      </w:r>
      <w:r>
        <w:rPr>
          <w:rFonts w:hint="eastAsia" w:ascii="宋体" w:hAnsi="宋体"/>
          <w:b/>
          <w:color w:val="auto"/>
          <w:sz w:val="30"/>
          <w:szCs w:val="30"/>
          <w:highlight w:val="none"/>
          <w:lang w:val="en-US" w:eastAsia="zh-CN"/>
        </w:rPr>
        <w:t>HYPM-19100820</w:t>
      </w:r>
    </w:p>
    <w:p>
      <w:pPr>
        <w:tabs>
          <w:tab w:val="left" w:pos="4860"/>
        </w:tabs>
        <w:spacing w:line="600" w:lineRule="exact"/>
        <w:ind w:right="98" w:firstLine="1700" w:firstLineChars="446"/>
        <w:jc w:val="left"/>
        <w:rPr>
          <w:rFonts w:hint="eastAsia" w:ascii="宋体" w:hAnsi="宋体" w:eastAsia="宋体"/>
          <w:b/>
          <w:color w:val="auto"/>
          <w:sz w:val="30"/>
          <w:szCs w:val="30"/>
          <w:highlight w:val="none"/>
          <w:lang w:val="en-US" w:eastAsia="zh-CN"/>
        </w:rPr>
      </w:pPr>
      <w:r>
        <w:rPr>
          <w:rFonts w:hint="eastAsia" w:ascii="宋体" w:hAnsi="宋体"/>
          <w:b/>
          <w:color w:val="auto"/>
          <w:spacing w:val="40"/>
          <w:sz w:val="30"/>
          <w:szCs w:val="30"/>
          <w:highlight w:val="none"/>
        </w:rPr>
        <w:t>招标项目</w:t>
      </w:r>
      <w:r>
        <w:rPr>
          <w:rFonts w:hint="eastAsia" w:ascii="宋体" w:hAnsi="宋体"/>
          <w:b/>
          <w:color w:val="auto"/>
          <w:sz w:val="30"/>
          <w:szCs w:val="30"/>
          <w:highlight w:val="none"/>
        </w:rPr>
        <w:t>：</w:t>
      </w:r>
      <w:r>
        <w:rPr>
          <w:rFonts w:hint="eastAsia" w:ascii="宋体" w:hAnsi="宋体"/>
          <w:b/>
          <w:color w:val="auto"/>
          <w:sz w:val="30"/>
          <w:szCs w:val="30"/>
          <w:highlight w:val="none"/>
          <w:lang w:eastAsia="zh-CN"/>
        </w:rPr>
        <w:t>皮卡车采购</w:t>
      </w:r>
    </w:p>
    <w:p>
      <w:pPr>
        <w:tabs>
          <w:tab w:val="left" w:pos="4860"/>
        </w:tabs>
        <w:spacing w:line="600" w:lineRule="exact"/>
        <w:ind w:right="1143" w:firstLine="1700" w:firstLineChars="446"/>
        <w:jc w:val="left"/>
        <w:rPr>
          <w:rFonts w:ascii="宋体" w:hAnsi="宋体"/>
          <w:b/>
          <w:color w:val="auto"/>
          <w:spacing w:val="40"/>
          <w:sz w:val="30"/>
          <w:szCs w:val="30"/>
          <w:highlight w:val="none"/>
        </w:rPr>
      </w:pPr>
      <w:r>
        <w:rPr>
          <w:rFonts w:hint="eastAsia" w:ascii="宋体" w:hAnsi="宋体"/>
          <w:b/>
          <w:color w:val="auto"/>
          <w:spacing w:val="40"/>
          <w:sz w:val="30"/>
          <w:szCs w:val="30"/>
          <w:highlight w:val="none"/>
        </w:rPr>
        <w:t>招标方式</w:t>
      </w:r>
      <w:r>
        <w:rPr>
          <w:rFonts w:hint="eastAsia" w:ascii="宋体" w:hAnsi="宋体"/>
          <w:b/>
          <w:color w:val="auto"/>
          <w:sz w:val="30"/>
          <w:szCs w:val="30"/>
          <w:highlight w:val="none"/>
        </w:rPr>
        <w:t>：公开招标</w:t>
      </w:r>
    </w:p>
    <w:p>
      <w:pPr>
        <w:jc w:val="center"/>
        <w:rPr>
          <w:rFonts w:ascii="宋体" w:hAnsi="宋体"/>
          <w:b/>
          <w:bCs/>
          <w:color w:val="auto"/>
          <w:sz w:val="24"/>
          <w:highlight w:val="none"/>
        </w:rPr>
      </w:pPr>
    </w:p>
    <w:p>
      <w:pPr>
        <w:jc w:val="center"/>
        <w:rPr>
          <w:rFonts w:ascii="宋体" w:hAnsi="宋体"/>
          <w:b/>
          <w:bCs/>
          <w:color w:val="auto"/>
          <w:sz w:val="24"/>
          <w:highlight w:val="none"/>
        </w:rPr>
      </w:pPr>
    </w:p>
    <w:p>
      <w:pPr>
        <w:jc w:val="center"/>
        <w:rPr>
          <w:rFonts w:ascii="宋体" w:hAnsi="宋体"/>
          <w:b/>
          <w:bCs/>
          <w:color w:val="auto"/>
          <w:sz w:val="24"/>
          <w:highlight w:val="none"/>
        </w:rPr>
      </w:pPr>
    </w:p>
    <w:p>
      <w:pPr>
        <w:jc w:val="center"/>
        <w:rPr>
          <w:rFonts w:ascii="宋体" w:hAnsi="宋体"/>
          <w:b/>
          <w:bCs/>
          <w:color w:val="auto"/>
          <w:sz w:val="24"/>
          <w:highlight w:val="none"/>
        </w:rPr>
      </w:pPr>
    </w:p>
    <w:p>
      <w:pPr>
        <w:jc w:val="center"/>
        <w:rPr>
          <w:rFonts w:ascii="宋体" w:hAnsi="宋体"/>
          <w:b/>
          <w:bCs/>
          <w:color w:val="auto"/>
          <w:sz w:val="24"/>
          <w:highlight w:val="none"/>
        </w:rPr>
      </w:pPr>
    </w:p>
    <w:p>
      <w:pPr>
        <w:jc w:val="center"/>
        <w:rPr>
          <w:rFonts w:ascii="宋体" w:hAnsi="宋体"/>
          <w:b/>
          <w:bCs/>
          <w:color w:val="auto"/>
          <w:sz w:val="24"/>
          <w:highlight w:val="none"/>
        </w:rPr>
      </w:pPr>
    </w:p>
    <w:p>
      <w:pPr>
        <w:jc w:val="center"/>
        <w:rPr>
          <w:rFonts w:ascii="宋体" w:hAnsi="宋体"/>
          <w:b/>
          <w:bCs/>
          <w:color w:val="auto"/>
          <w:sz w:val="24"/>
          <w:highlight w:val="none"/>
        </w:rPr>
      </w:pPr>
    </w:p>
    <w:p>
      <w:pPr>
        <w:spacing w:line="600" w:lineRule="exact"/>
        <w:ind w:firstLine="1440" w:firstLineChars="478"/>
        <w:rPr>
          <w:rFonts w:hint="eastAsia" w:ascii="宋体" w:hAnsi="宋体" w:eastAsia="宋体"/>
          <w:b/>
          <w:color w:val="auto"/>
          <w:sz w:val="30"/>
          <w:szCs w:val="30"/>
          <w:highlight w:val="none"/>
          <w:lang w:eastAsia="zh-CN"/>
        </w:rPr>
      </w:pPr>
      <w:r>
        <w:rPr>
          <w:rFonts w:hint="eastAsia" w:ascii="宋体" w:hAnsi="宋体"/>
          <w:b/>
          <w:color w:val="auto"/>
          <w:sz w:val="30"/>
          <w:szCs w:val="30"/>
          <w:highlight w:val="none"/>
        </w:rPr>
        <w:t>招  标  人：</w:t>
      </w:r>
      <w:r>
        <w:rPr>
          <w:rFonts w:hint="eastAsia" w:ascii="宋体" w:hAnsi="宋体"/>
          <w:b/>
          <w:color w:val="auto"/>
          <w:sz w:val="30"/>
          <w:szCs w:val="30"/>
          <w:highlight w:val="none"/>
          <w:lang w:eastAsia="zh-CN"/>
        </w:rPr>
        <w:t>温州金丽温高速公路东延线有限公司</w:t>
      </w:r>
    </w:p>
    <w:p>
      <w:pPr>
        <w:spacing w:line="600" w:lineRule="exact"/>
        <w:ind w:firstLine="1437" w:firstLineChars="377"/>
        <w:rPr>
          <w:rFonts w:ascii="宋体" w:hAnsi="宋体"/>
          <w:b/>
          <w:color w:val="000000" w:themeColor="text1"/>
          <w:spacing w:val="12"/>
          <w:sz w:val="30"/>
          <w:szCs w:val="30"/>
          <w14:textFill>
            <w14:solidFill>
              <w14:schemeClr w14:val="tx1"/>
            </w14:solidFill>
          </w14:textFill>
        </w:rPr>
      </w:pPr>
      <w:r>
        <w:rPr>
          <w:rFonts w:hint="eastAsia" w:ascii="宋体" w:hAnsi="宋体"/>
          <w:b/>
          <w:color w:val="000000" w:themeColor="text1"/>
          <w:spacing w:val="40"/>
          <w:sz w:val="30"/>
          <w:szCs w:val="30"/>
          <w14:textFill>
            <w14:solidFill>
              <w14:schemeClr w14:val="tx1"/>
            </w14:solidFill>
          </w14:textFill>
        </w:rPr>
        <w:t>招标代理</w:t>
      </w:r>
      <w:r>
        <w:rPr>
          <w:rFonts w:hint="eastAsia" w:ascii="宋体" w:hAnsi="宋体"/>
          <w:b/>
          <w:color w:val="000000" w:themeColor="text1"/>
          <w:sz w:val="30"/>
          <w:szCs w:val="30"/>
          <w14:textFill>
            <w14:solidFill>
              <w14:schemeClr w14:val="tx1"/>
            </w14:solidFill>
          </w14:textFill>
        </w:rPr>
        <w:t>：</w:t>
      </w:r>
      <w:r>
        <w:rPr>
          <w:rFonts w:hint="eastAsia" w:ascii="宋体" w:hAnsi="宋体"/>
          <w:b/>
          <w:color w:val="000000" w:themeColor="text1"/>
          <w:spacing w:val="12"/>
          <w:sz w:val="30"/>
          <w:szCs w:val="30"/>
          <w14:textFill>
            <w14:solidFill>
              <w14:schemeClr w14:val="tx1"/>
            </w14:solidFill>
          </w14:textFill>
        </w:rPr>
        <w:t>浙江鸿银项目管理有限公司</w:t>
      </w:r>
    </w:p>
    <w:p>
      <w:pPr>
        <w:spacing w:line="600" w:lineRule="exact"/>
        <w:ind w:firstLine="1437" w:firstLineChars="377"/>
        <w:rPr>
          <w:rFonts w:ascii="宋体" w:hAnsi="宋体"/>
          <w:b/>
          <w:color w:val="000000" w:themeColor="text1"/>
          <w:spacing w:val="40"/>
          <w:sz w:val="30"/>
          <w:szCs w:val="30"/>
          <w14:textFill>
            <w14:solidFill>
              <w14:schemeClr w14:val="tx1"/>
            </w14:solidFill>
          </w14:textFill>
        </w:rPr>
      </w:pPr>
    </w:p>
    <w:p>
      <w:pPr>
        <w:spacing w:line="600" w:lineRule="exact"/>
        <w:jc w:val="center"/>
        <w:rPr>
          <w:rFonts w:ascii="宋体" w:hAnsi="宋体"/>
          <w:b/>
          <w:color w:val="000000" w:themeColor="text1"/>
          <w:spacing w:val="40"/>
          <w:sz w:val="30"/>
          <w:szCs w:val="30"/>
          <w14:textFill>
            <w14:solidFill>
              <w14:schemeClr w14:val="tx1"/>
            </w14:solidFill>
          </w14:textFill>
        </w:rPr>
      </w:pPr>
      <w:r>
        <w:rPr>
          <w:rFonts w:hint="eastAsia" w:ascii="宋体" w:hAnsi="宋体"/>
          <w:b/>
          <w:color w:val="000000" w:themeColor="text1"/>
          <w:spacing w:val="40"/>
          <w:sz w:val="30"/>
          <w:szCs w:val="30"/>
          <w14:textFill>
            <w14:solidFill>
              <w14:schemeClr w14:val="tx1"/>
            </w14:solidFill>
          </w14:textFill>
        </w:rPr>
        <w:t>二〇一九年十月</w:t>
      </w:r>
    </w:p>
    <w:p>
      <w:pPr>
        <w:pStyle w:val="4"/>
        <w:rPr>
          <w:rFonts w:ascii="Arial" w:hAnsi="Arial" w:eastAsia="宋体" w:cs="Arial"/>
          <w:sz w:val="36"/>
          <w:szCs w:val="36"/>
        </w:rPr>
      </w:pPr>
      <w:r>
        <w:rPr>
          <w:rFonts w:hint="eastAsia" w:ascii="宋体" w:hAnsi="宋体"/>
          <w:color w:val="000000" w:themeColor="text1"/>
          <w:spacing w:val="40"/>
          <w:sz w:val="30"/>
          <w:szCs w:val="30"/>
          <w14:textFill>
            <w14:solidFill>
              <w14:schemeClr w14:val="tx1"/>
            </w14:solidFill>
          </w14:textFill>
        </w:rPr>
        <w:br w:type="page"/>
      </w:r>
      <w:bookmarkStart w:id="0" w:name="_Toc492279463"/>
      <w:r>
        <w:rPr>
          <w:rFonts w:ascii="Arial" w:hAnsi="宋体" w:eastAsia="宋体" w:cs="Arial"/>
          <w:sz w:val="36"/>
          <w:szCs w:val="36"/>
        </w:rPr>
        <w:t>投标保证金办理注意事项</w:t>
      </w:r>
      <w:bookmarkEnd w:id="0"/>
    </w:p>
    <w:p>
      <w:pPr>
        <w:spacing w:line="480" w:lineRule="auto"/>
        <w:ind w:firstLine="517" w:firstLineChars="245"/>
        <w:rPr>
          <w:rFonts w:ascii="Arial" w:hAnsi="Arial" w:cs="Arial"/>
          <w:b/>
          <w:bCs/>
        </w:rPr>
      </w:pPr>
    </w:p>
    <w:p>
      <w:pPr>
        <w:numPr>
          <w:ilvl w:val="0"/>
          <w:numId w:val="1"/>
        </w:numPr>
        <w:spacing w:line="480" w:lineRule="auto"/>
        <w:ind w:left="550" w:hanging="550" w:hangingChars="250"/>
        <w:rPr>
          <w:rFonts w:ascii="Arial" w:hAnsi="Arial" w:cs="Arial"/>
          <w:sz w:val="22"/>
          <w:szCs w:val="22"/>
        </w:rPr>
      </w:pPr>
      <w:r>
        <w:rPr>
          <w:rFonts w:ascii="Arial" w:hAnsi="宋体" w:cs="Arial"/>
          <w:sz w:val="22"/>
          <w:szCs w:val="22"/>
        </w:rPr>
        <w:t>投标保证金的缴纳：</w:t>
      </w:r>
    </w:p>
    <w:p>
      <w:pPr>
        <w:widowControl/>
        <w:spacing w:before="60" w:after="60" w:line="480" w:lineRule="auto"/>
        <w:ind w:left="61" w:leftChars="29" w:right="60" w:firstLine="440" w:firstLineChars="200"/>
        <w:jc w:val="left"/>
        <w:rPr>
          <w:rFonts w:ascii="Arial" w:hAnsi="Arial" w:cs="Arial"/>
          <w:sz w:val="22"/>
          <w:szCs w:val="22"/>
        </w:rPr>
      </w:pPr>
      <w:r>
        <w:rPr>
          <w:rFonts w:ascii="Arial" w:hAnsi="宋体" w:cs="Arial"/>
          <w:sz w:val="22"/>
          <w:szCs w:val="22"/>
        </w:rPr>
        <w:t>投标人携带投标保证金缴纳凭证（银行转账支票进账单、电汇单等，缴纳保证金用途必须注明项目名称）复印件两份和</w:t>
      </w:r>
      <w:r>
        <w:rPr>
          <w:rFonts w:ascii="Arial" w:hAnsi="Arial" w:cs="Arial"/>
          <w:sz w:val="22"/>
          <w:szCs w:val="22"/>
        </w:rPr>
        <w:t>“</w:t>
      </w:r>
      <w:r>
        <w:rPr>
          <w:rFonts w:ascii="Arial" w:hAnsi="宋体" w:cs="Arial"/>
          <w:sz w:val="22"/>
          <w:szCs w:val="22"/>
        </w:rPr>
        <w:t>政采云</w:t>
      </w:r>
      <w:r>
        <w:rPr>
          <w:rFonts w:ascii="Arial" w:hAnsi="Arial" w:cs="Arial"/>
          <w:sz w:val="22"/>
          <w:szCs w:val="22"/>
        </w:rPr>
        <w:t>”</w:t>
      </w:r>
      <w:r>
        <w:rPr>
          <w:rFonts w:ascii="Arial" w:hAnsi="宋体" w:cs="Arial"/>
          <w:sz w:val="22"/>
          <w:szCs w:val="22"/>
        </w:rPr>
        <w:t>平台报名成功后的界面截图（内容含供应商名称、项目名称、投标截止时间、保证金金额等）并加盖投标人有效公章，于采购文件规定的保证金缴纳截止时间前到中心资金结算窗口开具保证金收据。</w:t>
      </w:r>
    </w:p>
    <w:p>
      <w:pPr>
        <w:numPr>
          <w:ilvl w:val="0"/>
          <w:numId w:val="1"/>
        </w:numPr>
        <w:spacing w:line="480" w:lineRule="auto"/>
        <w:ind w:left="550" w:hanging="550" w:hangingChars="250"/>
        <w:rPr>
          <w:rFonts w:ascii="Arial" w:hAnsi="Arial" w:cs="Arial"/>
          <w:sz w:val="22"/>
          <w:szCs w:val="22"/>
        </w:rPr>
      </w:pPr>
      <w:r>
        <w:rPr>
          <w:rFonts w:ascii="Arial" w:hAnsi="宋体" w:cs="Arial"/>
          <w:sz w:val="22"/>
          <w:szCs w:val="22"/>
        </w:rPr>
        <w:t>保证金退付：</w:t>
      </w:r>
    </w:p>
    <w:p>
      <w:pPr>
        <w:spacing w:line="480" w:lineRule="auto"/>
        <w:ind w:firstLine="440" w:firstLineChars="200"/>
        <w:rPr>
          <w:rFonts w:ascii="Arial" w:hAnsi="Arial" w:cs="Arial"/>
          <w:sz w:val="22"/>
          <w:szCs w:val="22"/>
        </w:rPr>
      </w:pPr>
      <w:r>
        <w:rPr>
          <w:rFonts w:ascii="Arial" w:hAnsi="宋体" w:cs="Arial"/>
          <w:sz w:val="22"/>
          <w:szCs w:val="22"/>
        </w:rPr>
        <w:t>供应商在收到</w:t>
      </w:r>
      <w:r>
        <w:rPr>
          <w:rFonts w:ascii="Arial" w:hAnsi="Arial" w:cs="Arial"/>
          <w:sz w:val="22"/>
          <w:szCs w:val="22"/>
        </w:rPr>
        <w:t>“</w:t>
      </w:r>
      <w:r>
        <w:rPr>
          <w:rFonts w:ascii="Arial" w:hAnsi="宋体" w:cs="Arial"/>
          <w:sz w:val="22"/>
          <w:szCs w:val="22"/>
        </w:rPr>
        <w:t>政采云</w:t>
      </w:r>
      <w:r>
        <w:rPr>
          <w:rFonts w:ascii="Arial" w:hAnsi="Arial" w:cs="Arial"/>
          <w:sz w:val="22"/>
          <w:szCs w:val="22"/>
        </w:rPr>
        <w:t>”</w:t>
      </w:r>
      <w:r>
        <w:rPr>
          <w:rFonts w:ascii="Arial" w:hAnsi="宋体" w:cs="Arial"/>
          <w:sz w:val="22"/>
          <w:szCs w:val="22"/>
        </w:rPr>
        <w:t>平台的项目保证金退付通知后，携带中心开具的保证金收据复印件、保证金缴纳凭证复印件（盖有财务确认章）和供应商开具的收款收据（盖财务章或者公章）到中心资金结算窗口办理退付保证金手续；亦可邮寄上述资料（邮寄地址：</w:t>
      </w:r>
      <w:r>
        <w:rPr>
          <w:rFonts w:hint="eastAsia" w:ascii="Arial" w:hAnsi="宋体" w:cs="Arial"/>
          <w:sz w:val="22"/>
          <w:szCs w:val="22"/>
        </w:rPr>
        <w:t>温州市鹿城区会展路1268号温州市民中心A座3楼</w:t>
      </w:r>
      <w:r>
        <w:rPr>
          <w:rFonts w:ascii="Arial" w:hAnsi="宋体" w:cs="Arial"/>
          <w:sz w:val="22"/>
          <w:szCs w:val="22"/>
        </w:rPr>
        <w:t>，温州市公共资源交易中心温州银行窗口，曹绿如，电话</w:t>
      </w:r>
      <w:r>
        <w:rPr>
          <w:rFonts w:ascii="Arial" w:hAnsi="Arial" w:cs="Arial"/>
          <w:sz w:val="22"/>
          <w:szCs w:val="22"/>
        </w:rPr>
        <w:t>0577-</w:t>
      </w:r>
      <w:r>
        <w:rPr>
          <w:rFonts w:hint="eastAsia" w:ascii="Arial" w:hAnsi="Arial" w:cs="Arial"/>
          <w:sz w:val="22"/>
          <w:szCs w:val="22"/>
        </w:rPr>
        <w:t>88928908</w:t>
      </w:r>
      <w:r>
        <w:rPr>
          <w:rFonts w:ascii="Arial" w:hAnsi="宋体" w:cs="Arial"/>
          <w:sz w:val="22"/>
          <w:szCs w:val="22"/>
        </w:rPr>
        <w:t>），邮寄前请先致电登记并自行承担邮寄丢失的风险。</w:t>
      </w:r>
    </w:p>
    <w:p>
      <w:pPr>
        <w:numPr>
          <w:ilvl w:val="0"/>
          <w:numId w:val="1"/>
        </w:numPr>
        <w:spacing w:line="480" w:lineRule="auto"/>
        <w:ind w:left="550" w:hanging="550" w:hangingChars="250"/>
        <w:rPr>
          <w:rFonts w:ascii="Arial" w:hAnsi="Arial" w:cs="Arial"/>
          <w:sz w:val="22"/>
          <w:szCs w:val="22"/>
        </w:rPr>
      </w:pPr>
      <w:r>
        <w:rPr>
          <w:rFonts w:ascii="Arial" w:hAnsi="宋体" w:cs="Arial"/>
          <w:sz w:val="22"/>
          <w:szCs w:val="22"/>
        </w:rPr>
        <w:t>温州市行政审批与公共资源交易服务管理中心保证金帐户：</w:t>
      </w:r>
    </w:p>
    <w:p>
      <w:pPr>
        <w:spacing w:line="480" w:lineRule="auto"/>
        <w:ind w:firstLine="552" w:firstLineChars="250"/>
        <w:rPr>
          <w:rFonts w:ascii="Arial" w:hAnsi="Arial" w:cs="Arial"/>
          <w:b/>
          <w:bCs/>
          <w:sz w:val="22"/>
          <w:szCs w:val="22"/>
        </w:rPr>
      </w:pPr>
      <w:r>
        <w:rPr>
          <w:rFonts w:ascii="Arial" w:hAnsi="宋体" w:cs="Arial"/>
          <w:b/>
          <w:bCs/>
          <w:sz w:val="22"/>
          <w:szCs w:val="22"/>
        </w:rPr>
        <w:t>户名：温州市行政审批与公共资源交易服务管理中心</w:t>
      </w:r>
    </w:p>
    <w:p>
      <w:pPr>
        <w:spacing w:line="480" w:lineRule="auto"/>
        <w:ind w:firstLine="541" w:firstLineChars="245"/>
        <w:rPr>
          <w:rFonts w:ascii="Arial" w:hAnsi="Arial" w:cs="Arial"/>
          <w:b/>
          <w:bCs/>
          <w:sz w:val="22"/>
          <w:szCs w:val="22"/>
        </w:rPr>
      </w:pPr>
      <w:r>
        <w:rPr>
          <w:rFonts w:ascii="Arial" w:hAnsi="宋体" w:cs="Arial"/>
          <w:b/>
          <w:bCs/>
          <w:sz w:val="22"/>
          <w:szCs w:val="22"/>
        </w:rPr>
        <w:t>账号：</w:t>
      </w:r>
      <w:r>
        <w:rPr>
          <w:rFonts w:ascii="Arial" w:hAnsi="Arial" w:cs="Arial"/>
          <w:b/>
          <w:bCs/>
          <w:sz w:val="22"/>
          <w:szCs w:val="22"/>
        </w:rPr>
        <w:t>715000120196666999</w:t>
      </w:r>
    </w:p>
    <w:p>
      <w:pPr>
        <w:spacing w:line="480" w:lineRule="auto"/>
        <w:ind w:firstLine="541" w:firstLineChars="245"/>
        <w:rPr>
          <w:rFonts w:ascii="Arial" w:hAnsi="Arial" w:cs="Arial"/>
          <w:b/>
          <w:bCs/>
          <w:sz w:val="22"/>
          <w:szCs w:val="22"/>
        </w:rPr>
      </w:pPr>
      <w:r>
        <w:rPr>
          <w:rFonts w:ascii="Arial" w:hAnsi="宋体" w:cs="Arial"/>
          <w:b/>
          <w:bCs/>
          <w:sz w:val="22"/>
          <w:szCs w:val="22"/>
        </w:rPr>
        <w:t>开户行：温州银行鹿城支行</w:t>
      </w:r>
    </w:p>
    <w:p>
      <w:pPr>
        <w:spacing w:line="360" w:lineRule="auto"/>
        <w:ind w:left="538" w:leftChars="256"/>
        <w:jc w:val="right"/>
        <w:rPr>
          <w:rFonts w:ascii="Arial" w:hAnsi="Arial" w:cs="Arial"/>
          <w:sz w:val="28"/>
          <w:szCs w:val="28"/>
        </w:rPr>
      </w:pPr>
    </w:p>
    <w:p>
      <w:pPr>
        <w:spacing w:line="360" w:lineRule="auto"/>
        <w:ind w:left="538" w:leftChars="256"/>
        <w:jc w:val="right"/>
        <w:rPr>
          <w:rFonts w:ascii="Arial" w:hAnsi="Arial" w:cs="Arial"/>
          <w:snapToGrid w:val="0"/>
          <w:kern w:val="0"/>
          <w:sz w:val="28"/>
          <w:szCs w:val="28"/>
        </w:rPr>
      </w:pPr>
      <w:r>
        <w:rPr>
          <w:rFonts w:ascii="Arial" w:hAnsi="宋体" w:cs="Arial"/>
          <w:sz w:val="28"/>
          <w:szCs w:val="28"/>
        </w:rPr>
        <w:t>温州市公共资源交易与行政审批服务中心</w:t>
      </w:r>
    </w:p>
    <w:p>
      <w:pPr>
        <w:spacing w:line="600" w:lineRule="exact"/>
        <w:jc w:val="center"/>
        <w:rPr>
          <w:rFonts w:ascii="宋体" w:hAnsi="宋体"/>
          <w:b/>
          <w:bCs/>
          <w:color w:val="000000" w:themeColor="text1"/>
          <w:sz w:val="32"/>
          <w:szCs w:val="32"/>
          <w14:textFill>
            <w14:solidFill>
              <w14:schemeClr w14:val="tx1"/>
            </w14:solidFill>
          </w14:textFill>
        </w:rPr>
        <w:sectPr>
          <w:footerReference r:id="rId3" w:type="even"/>
          <w:pgSz w:w="11906" w:h="16838"/>
          <w:pgMar w:top="1134" w:right="1134" w:bottom="1134" w:left="1134" w:header="851" w:footer="851" w:gutter="0"/>
          <w:pgBorders>
            <w:top w:val="none" w:sz="0" w:space="0"/>
            <w:left w:val="none" w:sz="0" w:space="0"/>
            <w:bottom w:val="none" w:sz="0" w:space="0"/>
            <w:right w:val="none" w:sz="0" w:space="0"/>
          </w:pgBorders>
          <w:pgNumType w:start="0"/>
          <w:cols w:space="720" w:num="1"/>
          <w:titlePg/>
          <w:docGrid w:linePitch="312" w:charSpace="0"/>
        </w:sectPr>
      </w:pPr>
    </w:p>
    <w:p>
      <w:pPr>
        <w:spacing w:line="600" w:lineRule="exact"/>
        <w:jc w:val="center"/>
        <w:rPr>
          <w:rFonts w:ascii="宋体" w:hAnsi="宋体"/>
          <w:b/>
          <w:bCs/>
          <w:color w:val="000000" w:themeColor="text1"/>
          <w:sz w:val="32"/>
          <w:szCs w:val="32"/>
          <w14:textFill>
            <w14:solidFill>
              <w14:schemeClr w14:val="tx1"/>
            </w14:solidFill>
          </w14:textFill>
        </w:rPr>
      </w:pPr>
      <w:r>
        <w:rPr>
          <w:rFonts w:hint="eastAsia" w:ascii="宋体" w:hAnsi="宋体"/>
          <w:b/>
          <w:bCs/>
          <w:color w:val="000000" w:themeColor="text1"/>
          <w:sz w:val="32"/>
          <w:szCs w:val="32"/>
          <w14:textFill>
            <w14:solidFill>
              <w14:schemeClr w14:val="tx1"/>
            </w14:solidFill>
          </w14:textFill>
        </w:rPr>
        <w:t>目    录</w:t>
      </w:r>
    </w:p>
    <w:p>
      <w:pPr>
        <w:spacing w:line="600" w:lineRule="exact"/>
        <w:jc w:val="center"/>
        <w:rPr>
          <w:rFonts w:ascii="宋体" w:hAnsi="宋体"/>
          <w:b/>
          <w:bCs/>
          <w:color w:val="000000" w:themeColor="text1"/>
          <w:sz w:val="24"/>
          <w14:textFill>
            <w14:solidFill>
              <w14:schemeClr w14:val="tx1"/>
            </w14:solidFill>
          </w14:textFill>
        </w:rPr>
      </w:pPr>
    </w:p>
    <w:p>
      <w:pPr>
        <w:pStyle w:val="21"/>
        <w:rPr>
          <w:rFonts w:ascii="宋体" w:hAnsi="宋体" w:eastAsia="宋体" w:cs="Times New Roman"/>
          <w:color w:val="000000" w:themeColor="text1"/>
          <w:sz w:val="21"/>
          <w14:textFill>
            <w14:solidFill>
              <w14:schemeClr w14:val="tx1"/>
            </w14:solidFill>
          </w14:textFill>
        </w:rPr>
      </w:pPr>
      <w:r>
        <w:rPr>
          <w:rFonts w:hint="eastAsia" w:ascii="宋体" w:hAnsi="宋体" w:eastAsia="宋体"/>
          <w:color w:val="000000" w:themeColor="text1"/>
          <w:lang w:eastAsia="zh-CN"/>
          <w14:textFill>
            <w14:solidFill>
              <w14:schemeClr w14:val="tx1"/>
            </w14:solidFill>
          </w14:textFill>
        </w:rPr>
        <w:t>采购</w:t>
      </w:r>
      <w:r>
        <w:rPr>
          <w:rFonts w:hint="eastAsia" w:ascii="宋体" w:hAnsi="宋体" w:eastAsia="宋体"/>
          <w:color w:val="000000" w:themeColor="text1"/>
          <w14:textFill>
            <w14:solidFill>
              <w14:schemeClr w14:val="tx1"/>
            </w14:solidFill>
          </w14:textFill>
        </w:rPr>
        <w:fldChar w:fldCharType="begin"/>
      </w:r>
      <w:r>
        <w:rPr>
          <w:rFonts w:hint="eastAsia" w:ascii="宋体" w:hAnsi="宋体" w:eastAsia="宋体"/>
          <w:color w:val="000000" w:themeColor="text1"/>
          <w14:textFill>
            <w14:solidFill>
              <w14:schemeClr w14:val="tx1"/>
            </w14:solidFill>
          </w14:textFill>
        </w:rPr>
        <w:instrText xml:space="preserve"> TOC \o "1-3" \h \z \u </w:instrText>
      </w:r>
      <w:r>
        <w:rPr>
          <w:rFonts w:hint="eastAsia" w:ascii="宋体" w:hAnsi="宋体" w:eastAsia="宋体"/>
          <w:color w:val="000000" w:themeColor="text1"/>
          <w14:textFill>
            <w14:solidFill>
              <w14:schemeClr w14:val="tx1"/>
            </w14:solidFill>
          </w14:textFill>
        </w:rPr>
        <w:fldChar w:fldCharType="separate"/>
      </w:r>
      <w:r>
        <w:fldChar w:fldCharType="begin"/>
      </w:r>
      <w:r>
        <w:instrText xml:space="preserve"> HYPERLINK \l "_Toc382360954" </w:instrText>
      </w:r>
      <w:r>
        <w:fldChar w:fldCharType="separate"/>
      </w:r>
      <w:r>
        <w:rPr>
          <w:rFonts w:hint="eastAsia" w:ascii="宋体" w:hAnsi="宋体" w:eastAsia="宋体"/>
          <w:color w:val="000000" w:themeColor="text1"/>
          <w14:textFill>
            <w14:solidFill>
              <w14:schemeClr w14:val="tx1"/>
            </w14:solidFill>
          </w14:textFill>
        </w:rPr>
        <w:t xml:space="preserve">公告 </w:t>
      </w:r>
      <w:r>
        <w:rPr>
          <w:rFonts w:hint="eastAsia" w:ascii="宋体" w:hAnsi="宋体" w:eastAsia="宋体"/>
          <w:color w:val="000000" w:themeColor="text1"/>
          <w14:textFill>
            <w14:solidFill>
              <w14:schemeClr w14:val="tx1"/>
            </w14:solidFill>
          </w14:textFill>
        </w:rPr>
        <w:tab/>
      </w:r>
      <w:r>
        <w:rPr>
          <w:rFonts w:hint="eastAsia" w:ascii="宋体" w:hAnsi="宋体" w:eastAsia="宋体"/>
          <w:color w:val="000000" w:themeColor="text1"/>
          <w14:textFill>
            <w14:solidFill>
              <w14:schemeClr w14:val="tx1"/>
            </w14:solidFill>
          </w14:textFill>
        </w:rPr>
        <w:t>1</w:t>
      </w:r>
      <w:r>
        <w:rPr>
          <w:rFonts w:hint="eastAsia" w:ascii="宋体" w:hAnsi="宋体" w:eastAsia="宋体"/>
          <w:color w:val="000000" w:themeColor="text1"/>
          <w14:textFill>
            <w14:solidFill>
              <w14:schemeClr w14:val="tx1"/>
            </w14:solidFill>
          </w14:textFill>
        </w:rPr>
        <w:fldChar w:fldCharType="end"/>
      </w:r>
    </w:p>
    <w:p>
      <w:pPr>
        <w:pStyle w:val="21"/>
        <w:rPr>
          <w:rFonts w:ascii="宋体" w:hAnsi="宋体" w:eastAsia="宋体" w:cs="Times New Roman"/>
          <w:color w:val="000000" w:themeColor="text1"/>
          <w:sz w:val="21"/>
          <w14:textFill>
            <w14:solidFill>
              <w14:schemeClr w14:val="tx1"/>
            </w14:solidFill>
          </w14:textFill>
        </w:rPr>
      </w:pPr>
      <w:r>
        <w:fldChar w:fldCharType="begin"/>
      </w:r>
      <w:r>
        <w:instrText xml:space="preserve"> HYPERLINK \l "_Toc382360955" </w:instrText>
      </w:r>
      <w:r>
        <w:fldChar w:fldCharType="separate"/>
      </w:r>
      <w:r>
        <w:rPr>
          <w:rStyle w:val="28"/>
          <w:rFonts w:hint="eastAsia" w:ascii="宋体" w:hAnsi="宋体" w:eastAsia="宋体"/>
          <w:color w:val="000000" w:themeColor="text1"/>
          <w14:textFill>
            <w14:solidFill>
              <w14:schemeClr w14:val="tx1"/>
            </w14:solidFill>
          </w14:textFill>
        </w:rPr>
        <w:t>第一部分    投标人须知</w:t>
      </w:r>
      <w:r>
        <w:rPr>
          <w:rFonts w:hint="eastAsia" w:ascii="宋体" w:hAnsi="宋体" w:eastAsia="宋体"/>
          <w:color w:val="000000" w:themeColor="text1"/>
          <w14:textFill>
            <w14:solidFill>
              <w14:schemeClr w14:val="tx1"/>
            </w14:solidFill>
          </w14:textFill>
        </w:rPr>
        <w:tab/>
      </w:r>
      <w:r>
        <w:rPr>
          <w:rFonts w:hint="eastAsia" w:ascii="宋体" w:hAnsi="宋体" w:eastAsia="宋体"/>
          <w:color w:val="000000" w:themeColor="text1"/>
          <w14:textFill>
            <w14:solidFill>
              <w14:schemeClr w14:val="tx1"/>
            </w14:solidFill>
          </w14:textFill>
        </w:rPr>
        <w:fldChar w:fldCharType="begin"/>
      </w:r>
      <w:r>
        <w:rPr>
          <w:rFonts w:hint="eastAsia" w:ascii="宋体" w:hAnsi="宋体" w:eastAsia="宋体"/>
          <w:color w:val="000000" w:themeColor="text1"/>
          <w14:textFill>
            <w14:solidFill>
              <w14:schemeClr w14:val="tx1"/>
            </w14:solidFill>
          </w14:textFill>
        </w:rPr>
        <w:instrText xml:space="preserve"> PAGEREF _Toc382360955 \h </w:instrText>
      </w:r>
      <w:r>
        <w:rPr>
          <w:rFonts w:hint="eastAsia" w:ascii="宋体" w:hAnsi="宋体" w:eastAsia="宋体"/>
          <w:color w:val="000000" w:themeColor="text1"/>
          <w14:textFill>
            <w14:solidFill>
              <w14:schemeClr w14:val="tx1"/>
            </w14:solidFill>
          </w14:textFill>
        </w:rPr>
        <w:fldChar w:fldCharType="separate"/>
      </w:r>
      <w:r>
        <w:rPr>
          <w:rFonts w:hint="eastAsia" w:ascii="宋体" w:hAnsi="宋体" w:eastAsia="宋体"/>
          <w:color w:val="000000" w:themeColor="text1"/>
          <w14:textFill>
            <w14:solidFill>
              <w14:schemeClr w14:val="tx1"/>
            </w14:solidFill>
          </w14:textFill>
        </w:rPr>
        <w:t>4</w:t>
      </w:r>
      <w:r>
        <w:rPr>
          <w:rFonts w:hint="eastAsia" w:ascii="宋体" w:hAnsi="宋体" w:eastAsia="宋体"/>
          <w:color w:val="000000" w:themeColor="text1"/>
          <w14:textFill>
            <w14:solidFill>
              <w14:schemeClr w14:val="tx1"/>
            </w14:solidFill>
          </w14:textFill>
        </w:rPr>
        <w:fldChar w:fldCharType="end"/>
      </w:r>
      <w:r>
        <w:rPr>
          <w:rFonts w:hint="eastAsia" w:ascii="宋体" w:hAnsi="宋体" w:eastAsia="宋体"/>
          <w:color w:val="000000" w:themeColor="text1"/>
          <w14:textFill>
            <w14:solidFill>
              <w14:schemeClr w14:val="tx1"/>
            </w14:solidFill>
          </w14:textFill>
        </w:rPr>
        <w:fldChar w:fldCharType="end"/>
      </w:r>
    </w:p>
    <w:p>
      <w:pPr>
        <w:pStyle w:val="21"/>
        <w:rPr>
          <w:rFonts w:ascii="宋体" w:hAnsi="宋体" w:eastAsia="宋体" w:cs="Times New Roman"/>
          <w:color w:val="000000" w:themeColor="text1"/>
          <w:sz w:val="21"/>
          <w14:textFill>
            <w14:solidFill>
              <w14:schemeClr w14:val="tx1"/>
            </w14:solidFill>
          </w14:textFill>
        </w:rPr>
      </w:pPr>
      <w:r>
        <w:fldChar w:fldCharType="begin"/>
      </w:r>
      <w:r>
        <w:instrText xml:space="preserve"> HYPERLINK \l "_Toc382360956" </w:instrText>
      </w:r>
      <w:r>
        <w:fldChar w:fldCharType="separate"/>
      </w:r>
      <w:r>
        <w:rPr>
          <w:rStyle w:val="28"/>
          <w:rFonts w:hint="eastAsia" w:ascii="宋体" w:hAnsi="宋体" w:eastAsia="宋体"/>
          <w:b w:val="0"/>
          <w:color w:val="000000" w:themeColor="text1"/>
          <w14:textFill>
            <w14:solidFill>
              <w14:schemeClr w14:val="tx1"/>
            </w14:solidFill>
          </w14:textFill>
        </w:rPr>
        <w:t>一、  说明</w:t>
      </w:r>
      <w:r>
        <w:rPr>
          <w:rFonts w:hint="eastAsia" w:ascii="宋体" w:hAnsi="宋体" w:eastAsia="宋体"/>
          <w:color w:val="000000" w:themeColor="text1"/>
          <w14:textFill>
            <w14:solidFill>
              <w14:schemeClr w14:val="tx1"/>
            </w14:solidFill>
          </w14:textFill>
        </w:rPr>
        <w:tab/>
      </w:r>
      <w:r>
        <w:rPr>
          <w:rFonts w:hint="eastAsia" w:ascii="宋体" w:hAnsi="宋体" w:eastAsia="宋体"/>
          <w:color w:val="000000" w:themeColor="text1"/>
          <w14:textFill>
            <w14:solidFill>
              <w14:schemeClr w14:val="tx1"/>
            </w14:solidFill>
          </w14:textFill>
        </w:rPr>
        <w:fldChar w:fldCharType="begin"/>
      </w:r>
      <w:r>
        <w:rPr>
          <w:rFonts w:hint="eastAsia" w:ascii="宋体" w:hAnsi="宋体" w:eastAsia="宋体"/>
          <w:color w:val="000000" w:themeColor="text1"/>
          <w14:textFill>
            <w14:solidFill>
              <w14:schemeClr w14:val="tx1"/>
            </w14:solidFill>
          </w14:textFill>
        </w:rPr>
        <w:instrText xml:space="preserve"> PAGEREF _Toc382360956 \h </w:instrText>
      </w:r>
      <w:r>
        <w:rPr>
          <w:rFonts w:hint="eastAsia" w:ascii="宋体" w:hAnsi="宋体" w:eastAsia="宋体"/>
          <w:color w:val="000000" w:themeColor="text1"/>
          <w14:textFill>
            <w14:solidFill>
              <w14:schemeClr w14:val="tx1"/>
            </w14:solidFill>
          </w14:textFill>
        </w:rPr>
        <w:fldChar w:fldCharType="separate"/>
      </w:r>
      <w:r>
        <w:rPr>
          <w:rFonts w:hint="eastAsia" w:ascii="宋体" w:hAnsi="宋体" w:eastAsia="宋体"/>
          <w:color w:val="000000" w:themeColor="text1"/>
          <w14:textFill>
            <w14:solidFill>
              <w14:schemeClr w14:val="tx1"/>
            </w14:solidFill>
          </w14:textFill>
        </w:rPr>
        <w:t>4</w:t>
      </w:r>
      <w:r>
        <w:rPr>
          <w:rFonts w:hint="eastAsia" w:ascii="宋体" w:hAnsi="宋体" w:eastAsia="宋体"/>
          <w:color w:val="000000" w:themeColor="text1"/>
          <w14:textFill>
            <w14:solidFill>
              <w14:schemeClr w14:val="tx1"/>
            </w14:solidFill>
          </w14:textFill>
        </w:rPr>
        <w:fldChar w:fldCharType="end"/>
      </w:r>
      <w:r>
        <w:rPr>
          <w:rFonts w:hint="eastAsia" w:ascii="宋体" w:hAnsi="宋体" w:eastAsia="宋体"/>
          <w:color w:val="000000" w:themeColor="text1"/>
          <w14:textFill>
            <w14:solidFill>
              <w14:schemeClr w14:val="tx1"/>
            </w14:solidFill>
          </w14:textFill>
        </w:rPr>
        <w:fldChar w:fldCharType="end"/>
      </w:r>
    </w:p>
    <w:p>
      <w:pPr>
        <w:pStyle w:val="21"/>
        <w:rPr>
          <w:rFonts w:ascii="宋体" w:hAnsi="宋体" w:eastAsia="宋体" w:cs="Times New Roman"/>
          <w:color w:val="000000" w:themeColor="text1"/>
          <w:sz w:val="21"/>
          <w14:textFill>
            <w14:solidFill>
              <w14:schemeClr w14:val="tx1"/>
            </w14:solidFill>
          </w14:textFill>
        </w:rPr>
      </w:pPr>
      <w:r>
        <w:fldChar w:fldCharType="begin"/>
      </w:r>
      <w:r>
        <w:instrText xml:space="preserve"> HYPERLINK \l "_Toc382360957" </w:instrText>
      </w:r>
      <w:r>
        <w:fldChar w:fldCharType="separate"/>
      </w:r>
      <w:r>
        <w:rPr>
          <w:rStyle w:val="28"/>
          <w:rFonts w:hint="eastAsia" w:ascii="宋体" w:hAnsi="宋体" w:eastAsia="宋体"/>
          <w:b w:val="0"/>
          <w:color w:val="000000" w:themeColor="text1"/>
          <w14:textFill>
            <w14:solidFill>
              <w14:schemeClr w14:val="tx1"/>
            </w14:solidFill>
          </w14:textFill>
        </w:rPr>
        <w:t>二、 招标文件</w:t>
      </w:r>
      <w:r>
        <w:rPr>
          <w:rFonts w:hint="eastAsia" w:ascii="宋体" w:hAnsi="宋体" w:eastAsia="宋体"/>
          <w:color w:val="000000" w:themeColor="text1"/>
          <w14:textFill>
            <w14:solidFill>
              <w14:schemeClr w14:val="tx1"/>
            </w14:solidFill>
          </w14:textFill>
        </w:rPr>
        <w:tab/>
      </w:r>
      <w:r>
        <w:rPr>
          <w:rFonts w:hint="eastAsia" w:ascii="宋体" w:hAnsi="宋体" w:eastAsia="宋体"/>
          <w:color w:val="000000" w:themeColor="text1"/>
          <w14:textFill>
            <w14:solidFill>
              <w14:schemeClr w14:val="tx1"/>
            </w14:solidFill>
          </w14:textFill>
        </w:rPr>
        <w:fldChar w:fldCharType="begin"/>
      </w:r>
      <w:r>
        <w:rPr>
          <w:rFonts w:hint="eastAsia" w:ascii="宋体" w:hAnsi="宋体" w:eastAsia="宋体"/>
          <w:color w:val="000000" w:themeColor="text1"/>
          <w14:textFill>
            <w14:solidFill>
              <w14:schemeClr w14:val="tx1"/>
            </w14:solidFill>
          </w14:textFill>
        </w:rPr>
        <w:instrText xml:space="preserve"> PAGEREF _Toc382360957 \h </w:instrText>
      </w:r>
      <w:r>
        <w:rPr>
          <w:rFonts w:hint="eastAsia" w:ascii="宋体" w:hAnsi="宋体" w:eastAsia="宋体"/>
          <w:color w:val="000000" w:themeColor="text1"/>
          <w14:textFill>
            <w14:solidFill>
              <w14:schemeClr w14:val="tx1"/>
            </w14:solidFill>
          </w14:textFill>
        </w:rPr>
        <w:fldChar w:fldCharType="separate"/>
      </w:r>
      <w:r>
        <w:rPr>
          <w:rFonts w:hint="eastAsia" w:ascii="宋体" w:hAnsi="宋体" w:eastAsia="宋体"/>
          <w:color w:val="000000" w:themeColor="text1"/>
          <w14:textFill>
            <w14:solidFill>
              <w14:schemeClr w14:val="tx1"/>
            </w14:solidFill>
          </w14:textFill>
        </w:rPr>
        <w:t>4</w:t>
      </w:r>
      <w:r>
        <w:rPr>
          <w:rFonts w:hint="eastAsia" w:ascii="宋体" w:hAnsi="宋体" w:eastAsia="宋体"/>
          <w:color w:val="000000" w:themeColor="text1"/>
          <w14:textFill>
            <w14:solidFill>
              <w14:schemeClr w14:val="tx1"/>
            </w14:solidFill>
          </w14:textFill>
        </w:rPr>
        <w:fldChar w:fldCharType="end"/>
      </w:r>
      <w:r>
        <w:rPr>
          <w:rFonts w:hint="eastAsia" w:ascii="宋体" w:hAnsi="宋体" w:eastAsia="宋体"/>
          <w:color w:val="000000" w:themeColor="text1"/>
          <w14:textFill>
            <w14:solidFill>
              <w14:schemeClr w14:val="tx1"/>
            </w14:solidFill>
          </w14:textFill>
        </w:rPr>
        <w:fldChar w:fldCharType="end"/>
      </w:r>
    </w:p>
    <w:p>
      <w:pPr>
        <w:pStyle w:val="21"/>
        <w:rPr>
          <w:rFonts w:ascii="宋体" w:hAnsi="宋体" w:eastAsia="宋体" w:cs="Times New Roman"/>
          <w:color w:val="000000" w:themeColor="text1"/>
          <w:sz w:val="21"/>
          <w14:textFill>
            <w14:solidFill>
              <w14:schemeClr w14:val="tx1"/>
            </w14:solidFill>
          </w14:textFill>
        </w:rPr>
      </w:pPr>
      <w:r>
        <w:fldChar w:fldCharType="begin"/>
      </w:r>
      <w:r>
        <w:instrText xml:space="preserve"> HYPERLINK \l "_Toc382360958" </w:instrText>
      </w:r>
      <w:r>
        <w:fldChar w:fldCharType="separate"/>
      </w:r>
      <w:r>
        <w:rPr>
          <w:rStyle w:val="28"/>
          <w:rFonts w:hint="eastAsia" w:ascii="宋体" w:hAnsi="宋体" w:eastAsia="宋体"/>
          <w:b w:val="0"/>
          <w:color w:val="000000" w:themeColor="text1"/>
          <w14:textFill>
            <w14:solidFill>
              <w14:schemeClr w14:val="tx1"/>
            </w14:solidFill>
          </w14:textFill>
        </w:rPr>
        <w:t>三、 投标文件的编制</w:t>
      </w:r>
      <w:r>
        <w:rPr>
          <w:rFonts w:hint="eastAsia" w:ascii="宋体" w:hAnsi="宋体" w:eastAsia="宋体"/>
          <w:color w:val="000000" w:themeColor="text1"/>
          <w14:textFill>
            <w14:solidFill>
              <w14:schemeClr w14:val="tx1"/>
            </w14:solidFill>
          </w14:textFill>
        </w:rPr>
        <w:tab/>
      </w:r>
      <w:r>
        <w:rPr>
          <w:rFonts w:hint="eastAsia" w:ascii="宋体" w:hAnsi="宋体" w:eastAsia="宋体"/>
          <w:color w:val="000000" w:themeColor="text1"/>
          <w14:textFill>
            <w14:solidFill>
              <w14:schemeClr w14:val="tx1"/>
            </w14:solidFill>
          </w14:textFill>
        </w:rPr>
        <w:fldChar w:fldCharType="begin"/>
      </w:r>
      <w:r>
        <w:rPr>
          <w:rFonts w:hint="eastAsia" w:ascii="宋体" w:hAnsi="宋体" w:eastAsia="宋体"/>
          <w:color w:val="000000" w:themeColor="text1"/>
          <w14:textFill>
            <w14:solidFill>
              <w14:schemeClr w14:val="tx1"/>
            </w14:solidFill>
          </w14:textFill>
        </w:rPr>
        <w:instrText xml:space="preserve"> PAGEREF _Toc382360958 \h </w:instrText>
      </w:r>
      <w:r>
        <w:rPr>
          <w:rFonts w:hint="eastAsia" w:ascii="宋体" w:hAnsi="宋体" w:eastAsia="宋体"/>
          <w:color w:val="000000" w:themeColor="text1"/>
          <w14:textFill>
            <w14:solidFill>
              <w14:schemeClr w14:val="tx1"/>
            </w14:solidFill>
          </w14:textFill>
        </w:rPr>
        <w:fldChar w:fldCharType="separate"/>
      </w:r>
      <w:r>
        <w:rPr>
          <w:rFonts w:hint="eastAsia" w:ascii="宋体" w:hAnsi="宋体" w:eastAsia="宋体"/>
          <w:color w:val="000000" w:themeColor="text1"/>
          <w14:textFill>
            <w14:solidFill>
              <w14:schemeClr w14:val="tx1"/>
            </w14:solidFill>
          </w14:textFill>
        </w:rPr>
        <w:t>5</w:t>
      </w:r>
      <w:r>
        <w:rPr>
          <w:rFonts w:hint="eastAsia" w:ascii="宋体" w:hAnsi="宋体" w:eastAsia="宋体"/>
          <w:color w:val="000000" w:themeColor="text1"/>
          <w14:textFill>
            <w14:solidFill>
              <w14:schemeClr w14:val="tx1"/>
            </w14:solidFill>
          </w14:textFill>
        </w:rPr>
        <w:fldChar w:fldCharType="end"/>
      </w:r>
      <w:r>
        <w:rPr>
          <w:rFonts w:hint="eastAsia" w:ascii="宋体" w:hAnsi="宋体" w:eastAsia="宋体"/>
          <w:color w:val="000000" w:themeColor="text1"/>
          <w14:textFill>
            <w14:solidFill>
              <w14:schemeClr w14:val="tx1"/>
            </w14:solidFill>
          </w14:textFill>
        </w:rPr>
        <w:fldChar w:fldCharType="end"/>
      </w:r>
    </w:p>
    <w:p>
      <w:pPr>
        <w:pStyle w:val="21"/>
        <w:rPr>
          <w:rFonts w:ascii="宋体" w:hAnsi="宋体" w:eastAsia="宋体" w:cs="Times New Roman"/>
          <w:color w:val="000000" w:themeColor="text1"/>
          <w:sz w:val="21"/>
          <w14:textFill>
            <w14:solidFill>
              <w14:schemeClr w14:val="tx1"/>
            </w14:solidFill>
          </w14:textFill>
        </w:rPr>
      </w:pPr>
      <w:r>
        <w:fldChar w:fldCharType="begin"/>
      </w:r>
      <w:r>
        <w:instrText xml:space="preserve"> HYPERLINK \l "_Toc382360959" </w:instrText>
      </w:r>
      <w:r>
        <w:fldChar w:fldCharType="separate"/>
      </w:r>
      <w:r>
        <w:rPr>
          <w:rStyle w:val="28"/>
          <w:rFonts w:hint="eastAsia" w:ascii="宋体" w:hAnsi="宋体" w:eastAsia="宋体"/>
          <w:b w:val="0"/>
          <w:color w:val="000000" w:themeColor="text1"/>
          <w14:textFill>
            <w14:solidFill>
              <w14:schemeClr w14:val="tx1"/>
            </w14:solidFill>
          </w14:textFill>
        </w:rPr>
        <w:t>四、 投标文件的递交</w:t>
      </w:r>
      <w:r>
        <w:rPr>
          <w:rFonts w:hint="eastAsia" w:ascii="宋体" w:hAnsi="宋体" w:eastAsia="宋体"/>
          <w:color w:val="000000" w:themeColor="text1"/>
          <w14:textFill>
            <w14:solidFill>
              <w14:schemeClr w14:val="tx1"/>
            </w14:solidFill>
          </w14:textFill>
        </w:rPr>
        <w:tab/>
      </w:r>
      <w:r>
        <w:rPr>
          <w:rFonts w:hint="eastAsia" w:ascii="宋体" w:hAnsi="宋体" w:eastAsia="宋体"/>
          <w:color w:val="000000" w:themeColor="text1"/>
          <w14:textFill>
            <w14:solidFill>
              <w14:schemeClr w14:val="tx1"/>
            </w14:solidFill>
          </w14:textFill>
        </w:rPr>
        <w:fldChar w:fldCharType="begin"/>
      </w:r>
      <w:r>
        <w:rPr>
          <w:rFonts w:hint="eastAsia" w:ascii="宋体" w:hAnsi="宋体" w:eastAsia="宋体"/>
          <w:color w:val="000000" w:themeColor="text1"/>
          <w14:textFill>
            <w14:solidFill>
              <w14:schemeClr w14:val="tx1"/>
            </w14:solidFill>
          </w14:textFill>
        </w:rPr>
        <w:instrText xml:space="preserve"> PAGEREF _Toc382360959 \h </w:instrText>
      </w:r>
      <w:r>
        <w:rPr>
          <w:rFonts w:hint="eastAsia" w:ascii="宋体" w:hAnsi="宋体" w:eastAsia="宋体"/>
          <w:color w:val="000000" w:themeColor="text1"/>
          <w14:textFill>
            <w14:solidFill>
              <w14:schemeClr w14:val="tx1"/>
            </w14:solidFill>
          </w14:textFill>
        </w:rPr>
        <w:fldChar w:fldCharType="separate"/>
      </w:r>
      <w:r>
        <w:rPr>
          <w:rFonts w:hint="eastAsia" w:ascii="宋体" w:hAnsi="宋体" w:eastAsia="宋体"/>
          <w:color w:val="000000" w:themeColor="text1"/>
          <w14:textFill>
            <w14:solidFill>
              <w14:schemeClr w14:val="tx1"/>
            </w14:solidFill>
          </w14:textFill>
        </w:rPr>
        <w:t>7</w:t>
      </w:r>
      <w:r>
        <w:rPr>
          <w:rFonts w:hint="eastAsia" w:ascii="宋体" w:hAnsi="宋体" w:eastAsia="宋体"/>
          <w:color w:val="000000" w:themeColor="text1"/>
          <w14:textFill>
            <w14:solidFill>
              <w14:schemeClr w14:val="tx1"/>
            </w14:solidFill>
          </w14:textFill>
        </w:rPr>
        <w:fldChar w:fldCharType="end"/>
      </w:r>
      <w:r>
        <w:rPr>
          <w:rFonts w:hint="eastAsia" w:ascii="宋体" w:hAnsi="宋体" w:eastAsia="宋体"/>
          <w:color w:val="000000" w:themeColor="text1"/>
          <w14:textFill>
            <w14:solidFill>
              <w14:schemeClr w14:val="tx1"/>
            </w14:solidFill>
          </w14:textFill>
        </w:rPr>
        <w:fldChar w:fldCharType="end"/>
      </w:r>
    </w:p>
    <w:p>
      <w:pPr>
        <w:pStyle w:val="21"/>
        <w:rPr>
          <w:rFonts w:ascii="宋体" w:hAnsi="宋体" w:eastAsia="宋体" w:cs="Times New Roman"/>
          <w:color w:val="000000" w:themeColor="text1"/>
          <w:sz w:val="21"/>
          <w14:textFill>
            <w14:solidFill>
              <w14:schemeClr w14:val="tx1"/>
            </w14:solidFill>
          </w14:textFill>
        </w:rPr>
      </w:pPr>
      <w:r>
        <w:fldChar w:fldCharType="begin"/>
      </w:r>
      <w:r>
        <w:instrText xml:space="preserve"> HYPERLINK \l "_Toc382360960" </w:instrText>
      </w:r>
      <w:r>
        <w:fldChar w:fldCharType="separate"/>
      </w:r>
      <w:r>
        <w:rPr>
          <w:rStyle w:val="28"/>
          <w:rFonts w:hint="eastAsia" w:ascii="宋体" w:hAnsi="宋体" w:eastAsia="宋体"/>
          <w:b w:val="0"/>
          <w:color w:val="000000" w:themeColor="text1"/>
          <w14:textFill>
            <w14:solidFill>
              <w14:schemeClr w14:val="tx1"/>
            </w14:solidFill>
          </w14:textFill>
        </w:rPr>
        <w:t>五、 开标和评标</w:t>
      </w:r>
      <w:r>
        <w:rPr>
          <w:rFonts w:hint="eastAsia" w:ascii="宋体" w:hAnsi="宋体" w:eastAsia="宋体"/>
          <w:color w:val="000000" w:themeColor="text1"/>
          <w14:textFill>
            <w14:solidFill>
              <w14:schemeClr w14:val="tx1"/>
            </w14:solidFill>
          </w14:textFill>
        </w:rPr>
        <w:tab/>
      </w:r>
      <w:r>
        <w:rPr>
          <w:rFonts w:hint="eastAsia" w:ascii="宋体" w:hAnsi="宋体" w:eastAsia="宋体"/>
          <w:color w:val="000000" w:themeColor="text1"/>
          <w14:textFill>
            <w14:solidFill>
              <w14:schemeClr w14:val="tx1"/>
            </w14:solidFill>
          </w14:textFill>
        </w:rPr>
        <w:fldChar w:fldCharType="begin"/>
      </w:r>
      <w:r>
        <w:rPr>
          <w:rFonts w:hint="eastAsia" w:ascii="宋体" w:hAnsi="宋体" w:eastAsia="宋体"/>
          <w:color w:val="000000" w:themeColor="text1"/>
          <w14:textFill>
            <w14:solidFill>
              <w14:schemeClr w14:val="tx1"/>
            </w14:solidFill>
          </w14:textFill>
        </w:rPr>
        <w:instrText xml:space="preserve"> PAGEREF _Toc382360960 \h </w:instrText>
      </w:r>
      <w:r>
        <w:rPr>
          <w:rFonts w:hint="eastAsia" w:ascii="宋体" w:hAnsi="宋体" w:eastAsia="宋体"/>
          <w:color w:val="000000" w:themeColor="text1"/>
          <w14:textFill>
            <w14:solidFill>
              <w14:schemeClr w14:val="tx1"/>
            </w14:solidFill>
          </w14:textFill>
        </w:rPr>
        <w:fldChar w:fldCharType="separate"/>
      </w:r>
      <w:r>
        <w:rPr>
          <w:rFonts w:hint="eastAsia" w:ascii="宋体" w:hAnsi="宋体" w:eastAsia="宋体"/>
          <w:color w:val="000000" w:themeColor="text1"/>
          <w14:textFill>
            <w14:solidFill>
              <w14:schemeClr w14:val="tx1"/>
            </w14:solidFill>
          </w14:textFill>
        </w:rPr>
        <w:t>8</w:t>
      </w:r>
      <w:r>
        <w:rPr>
          <w:rFonts w:hint="eastAsia" w:ascii="宋体" w:hAnsi="宋体" w:eastAsia="宋体"/>
          <w:color w:val="000000" w:themeColor="text1"/>
          <w14:textFill>
            <w14:solidFill>
              <w14:schemeClr w14:val="tx1"/>
            </w14:solidFill>
          </w14:textFill>
        </w:rPr>
        <w:fldChar w:fldCharType="end"/>
      </w:r>
      <w:r>
        <w:rPr>
          <w:rFonts w:hint="eastAsia" w:ascii="宋体" w:hAnsi="宋体" w:eastAsia="宋体"/>
          <w:color w:val="000000" w:themeColor="text1"/>
          <w14:textFill>
            <w14:solidFill>
              <w14:schemeClr w14:val="tx1"/>
            </w14:solidFill>
          </w14:textFill>
        </w:rPr>
        <w:fldChar w:fldCharType="end"/>
      </w:r>
    </w:p>
    <w:p>
      <w:pPr>
        <w:pStyle w:val="21"/>
        <w:rPr>
          <w:rFonts w:ascii="宋体" w:hAnsi="宋体" w:eastAsia="宋体" w:cs="Times New Roman"/>
          <w:color w:val="000000" w:themeColor="text1"/>
          <w:sz w:val="21"/>
          <w14:textFill>
            <w14:solidFill>
              <w14:schemeClr w14:val="tx1"/>
            </w14:solidFill>
          </w14:textFill>
        </w:rPr>
      </w:pPr>
      <w:r>
        <w:fldChar w:fldCharType="begin"/>
      </w:r>
      <w:r>
        <w:instrText xml:space="preserve"> HYPERLINK \l "_Toc382360961" </w:instrText>
      </w:r>
      <w:r>
        <w:fldChar w:fldCharType="separate"/>
      </w:r>
      <w:r>
        <w:rPr>
          <w:rStyle w:val="28"/>
          <w:rFonts w:hint="eastAsia" w:ascii="宋体" w:hAnsi="宋体" w:eastAsia="宋体"/>
          <w:b w:val="0"/>
          <w:color w:val="000000" w:themeColor="text1"/>
          <w14:textFill>
            <w14:solidFill>
              <w14:schemeClr w14:val="tx1"/>
            </w14:solidFill>
          </w14:textFill>
        </w:rPr>
        <w:t>六、 授予合</w:t>
      </w:r>
      <w:bookmarkStart w:id="1" w:name="_Hlt416903094"/>
      <w:r>
        <w:rPr>
          <w:rStyle w:val="28"/>
          <w:rFonts w:hint="eastAsia" w:ascii="宋体" w:hAnsi="宋体" w:eastAsia="宋体"/>
          <w:b w:val="0"/>
          <w:color w:val="000000" w:themeColor="text1"/>
          <w14:textFill>
            <w14:solidFill>
              <w14:schemeClr w14:val="tx1"/>
            </w14:solidFill>
          </w14:textFill>
        </w:rPr>
        <w:t>同</w:t>
      </w:r>
      <w:bookmarkEnd w:id="1"/>
      <w:r>
        <w:rPr>
          <w:rFonts w:hint="eastAsia" w:ascii="宋体" w:hAnsi="宋体" w:eastAsia="宋体"/>
          <w:color w:val="000000" w:themeColor="text1"/>
          <w14:textFill>
            <w14:solidFill>
              <w14:schemeClr w14:val="tx1"/>
            </w14:solidFill>
          </w14:textFill>
        </w:rPr>
        <w:tab/>
      </w:r>
      <w:r>
        <w:rPr>
          <w:rFonts w:hint="eastAsia" w:ascii="宋体" w:hAnsi="宋体" w:eastAsia="宋体"/>
          <w:color w:val="000000" w:themeColor="text1"/>
          <w14:textFill>
            <w14:solidFill>
              <w14:schemeClr w14:val="tx1"/>
            </w14:solidFill>
          </w14:textFill>
        </w:rPr>
        <w:fldChar w:fldCharType="begin"/>
      </w:r>
      <w:r>
        <w:rPr>
          <w:rFonts w:hint="eastAsia" w:ascii="宋体" w:hAnsi="宋体" w:eastAsia="宋体"/>
          <w:color w:val="000000" w:themeColor="text1"/>
          <w14:textFill>
            <w14:solidFill>
              <w14:schemeClr w14:val="tx1"/>
            </w14:solidFill>
          </w14:textFill>
        </w:rPr>
        <w:instrText xml:space="preserve"> PAGEREF _Toc382360961 \h </w:instrText>
      </w:r>
      <w:r>
        <w:rPr>
          <w:rFonts w:hint="eastAsia" w:ascii="宋体" w:hAnsi="宋体" w:eastAsia="宋体"/>
          <w:color w:val="000000" w:themeColor="text1"/>
          <w14:textFill>
            <w14:solidFill>
              <w14:schemeClr w14:val="tx1"/>
            </w14:solidFill>
          </w14:textFill>
        </w:rPr>
        <w:fldChar w:fldCharType="separate"/>
      </w:r>
      <w:r>
        <w:rPr>
          <w:rFonts w:hint="eastAsia" w:ascii="宋体" w:hAnsi="宋体" w:eastAsia="宋体"/>
          <w:color w:val="000000" w:themeColor="text1"/>
          <w14:textFill>
            <w14:solidFill>
              <w14:schemeClr w14:val="tx1"/>
            </w14:solidFill>
          </w14:textFill>
        </w:rPr>
        <w:t>11</w:t>
      </w:r>
      <w:r>
        <w:rPr>
          <w:rFonts w:hint="eastAsia" w:ascii="宋体" w:hAnsi="宋体" w:eastAsia="宋体"/>
          <w:color w:val="000000" w:themeColor="text1"/>
          <w14:textFill>
            <w14:solidFill>
              <w14:schemeClr w14:val="tx1"/>
            </w14:solidFill>
          </w14:textFill>
        </w:rPr>
        <w:fldChar w:fldCharType="end"/>
      </w:r>
      <w:r>
        <w:rPr>
          <w:rFonts w:hint="eastAsia" w:ascii="宋体" w:hAnsi="宋体" w:eastAsia="宋体"/>
          <w:color w:val="000000" w:themeColor="text1"/>
          <w14:textFill>
            <w14:solidFill>
              <w14:schemeClr w14:val="tx1"/>
            </w14:solidFill>
          </w14:textFill>
        </w:rPr>
        <w:fldChar w:fldCharType="end"/>
      </w:r>
    </w:p>
    <w:p>
      <w:pPr>
        <w:pStyle w:val="21"/>
        <w:rPr>
          <w:rFonts w:ascii="宋体" w:hAnsi="宋体" w:eastAsia="宋体" w:cs="Times New Roman"/>
          <w:color w:val="000000" w:themeColor="text1"/>
          <w:sz w:val="21"/>
          <w14:textFill>
            <w14:solidFill>
              <w14:schemeClr w14:val="tx1"/>
            </w14:solidFill>
          </w14:textFill>
        </w:rPr>
      </w:pPr>
      <w:r>
        <w:fldChar w:fldCharType="begin"/>
      </w:r>
      <w:r>
        <w:instrText xml:space="preserve"> HYPERLINK \l "_Toc382360962" </w:instrText>
      </w:r>
      <w:r>
        <w:fldChar w:fldCharType="separate"/>
      </w:r>
      <w:r>
        <w:rPr>
          <w:rStyle w:val="28"/>
          <w:rFonts w:hint="eastAsia" w:ascii="宋体" w:hAnsi="宋体" w:eastAsia="宋体"/>
          <w:color w:val="000000" w:themeColor="text1"/>
          <w14:textFill>
            <w14:solidFill>
              <w14:schemeClr w14:val="tx1"/>
            </w14:solidFill>
          </w14:textFill>
        </w:rPr>
        <w:t>第二部分   合同</w:t>
      </w:r>
      <w:bookmarkStart w:id="2" w:name="_Hlt524959341"/>
      <w:bookmarkStart w:id="3" w:name="_Hlt524959342"/>
      <w:r>
        <w:rPr>
          <w:rStyle w:val="28"/>
          <w:rFonts w:hint="eastAsia" w:ascii="宋体" w:hAnsi="宋体" w:eastAsia="宋体"/>
          <w:color w:val="000000" w:themeColor="text1"/>
          <w14:textFill>
            <w14:solidFill>
              <w14:schemeClr w14:val="tx1"/>
            </w14:solidFill>
          </w14:textFill>
        </w:rPr>
        <w:t>主</w:t>
      </w:r>
      <w:bookmarkEnd w:id="2"/>
      <w:bookmarkEnd w:id="3"/>
      <w:r>
        <w:rPr>
          <w:rStyle w:val="28"/>
          <w:rFonts w:hint="eastAsia" w:ascii="宋体" w:hAnsi="宋体" w:eastAsia="宋体"/>
          <w:color w:val="000000" w:themeColor="text1"/>
          <w14:textFill>
            <w14:solidFill>
              <w14:schemeClr w14:val="tx1"/>
            </w14:solidFill>
          </w14:textFill>
        </w:rPr>
        <w:t>要</w:t>
      </w:r>
      <w:bookmarkStart w:id="4" w:name="_Hlt421188835"/>
      <w:r>
        <w:rPr>
          <w:rStyle w:val="28"/>
          <w:rFonts w:hint="eastAsia" w:ascii="宋体" w:hAnsi="宋体" w:eastAsia="宋体"/>
          <w:color w:val="000000" w:themeColor="text1"/>
          <w14:textFill>
            <w14:solidFill>
              <w14:schemeClr w14:val="tx1"/>
            </w14:solidFill>
          </w14:textFill>
        </w:rPr>
        <w:t>条</w:t>
      </w:r>
      <w:bookmarkEnd w:id="4"/>
      <w:r>
        <w:rPr>
          <w:rStyle w:val="28"/>
          <w:rFonts w:hint="eastAsia" w:ascii="宋体" w:hAnsi="宋体" w:eastAsia="宋体"/>
          <w:color w:val="000000" w:themeColor="text1"/>
          <w14:textFill>
            <w14:solidFill>
              <w14:schemeClr w14:val="tx1"/>
            </w14:solidFill>
          </w14:textFill>
        </w:rPr>
        <w:t>款</w:t>
      </w:r>
      <w:r>
        <w:rPr>
          <w:rFonts w:hint="eastAsia" w:ascii="宋体" w:hAnsi="宋体" w:eastAsia="宋体"/>
          <w:color w:val="000000" w:themeColor="text1"/>
          <w14:textFill>
            <w14:solidFill>
              <w14:schemeClr w14:val="tx1"/>
            </w14:solidFill>
          </w14:textFill>
        </w:rPr>
        <w:tab/>
      </w:r>
      <w:r>
        <w:rPr>
          <w:rFonts w:hint="eastAsia" w:ascii="宋体" w:hAnsi="宋体" w:eastAsia="宋体"/>
          <w:color w:val="000000" w:themeColor="text1"/>
          <w14:textFill>
            <w14:solidFill>
              <w14:schemeClr w14:val="tx1"/>
            </w14:solidFill>
          </w14:textFill>
        </w:rPr>
        <w:fldChar w:fldCharType="begin"/>
      </w:r>
      <w:r>
        <w:rPr>
          <w:rFonts w:hint="eastAsia" w:ascii="宋体" w:hAnsi="宋体" w:eastAsia="宋体"/>
          <w:color w:val="000000" w:themeColor="text1"/>
          <w14:textFill>
            <w14:solidFill>
              <w14:schemeClr w14:val="tx1"/>
            </w14:solidFill>
          </w14:textFill>
        </w:rPr>
        <w:instrText xml:space="preserve"> PAGEREF _Toc382360962 \h </w:instrText>
      </w:r>
      <w:r>
        <w:rPr>
          <w:rFonts w:hint="eastAsia" w:ascii="宋体" w:hAnsi="宋体" w:eastAsia="宋体"/>
          <w:color w:val="000000" w:themeColor="text1"/>
          <w14:textFill>
            <w14:solidFill>
              <w14:schemeClr w14:val="tx1"/>
            </w14:solidFill>
          </w14:textFill>
        </w:rPr>
        <w:fldChar w:fldCharType="separate"/>
      </w:r>
      <w:r>
        <w:rPr>
          <w:rFonts w:hint="eastAsia" w:ascii="宋体" w:hAnsi="宋体" w:eastAsia="宋体"/>
          <w:color w:val="000000" w:themeColor="text1"/>
          <w14:textFill>
            <w14:solidFill>
              <w14:schemeClr w14:val="tx1"/>
            </w14:solidFill>
          </w14:textFill>
        </w:rPr>
        <w:t>13</w:t>
      </w:r>
      <w:r>
        <w:rPr>
          <w:rFonts w:hint="eastAsia" w:ascii="宋体" w:hAnsi="宋体" w:eastAsia="宋体"/>
          <w:color w:val="000000" w:themeColor="text1"/>
          <w14:textFill>
            <w14:solidFill>
              <w14:schemeClr w14:val="tx1"/>
            </w14:solidFill>
          </w14:textFill>
        </w:rPr>
        <w:fldChar w:fldCharType="end"/>
      </w:r>
      <w:r>
        <w:rPr>
          <w:rFonts w:hint="eastAsia" w:ascii="宋体" w:hAnsi="宋体" w:eastAsia="宋体"/>
          <w:color w:val="000000" w:themeColor="text1"/>
          <w14:textFill>
            <w14:solidFill>
              <w14:schemeClr w14:val="tx1"/>
            </w14:solidFill>
          </w14:textFill>
        </w:rPr>
        <w:fldChar w:fldCharType="end"/>
      </w:r>
    </w:p>
    <w:p>
      <w:pPr>
        <w:pStyle w:val="21"/>
        <w:rPr>
          <w:rFonts w:ascii="宋体" w:hAnsi="宋体" w:eastAsia="宋体" w:cs="Times New Roman"/>
          <w:color w:val="000000" w:themeColor="text1"/>
          <w:sz w:val="21"/>
          <w14:textFill>
            <w14:solidFill>
              <w14:schemeClr w14:val="tx1"/>
            </w14:solidFill>
          </w14:textFill>
        </w:rPr>
      </w:pPr>
      <w:r>
        <w:fldChar w:fldCharType="begin"/>
      </w:r>
      <w:r>
        <w:instrText xml:space="preserve"> HYPERLINK \l "_Toc382360963" </w:instrText>
      </w:r>
      <w:r>
        <w:fldChar w:fldCharType="separate"/>
      </w:r>
      <w:r>
        <w:rPr>
          <w:rStyle w:val="28"/>
          <w:rFonts w:hint="eastAsia" w:ascii="宋体" w:hAnsi="宋体" w:eastAsia="宋体"/>
          <w:color w:val="000000" w:themeColor="text1"/>
          <w14:textFill>
            <w14:solidFill>
              <w14:schemeClr w14:val="tx1"/>
            </w14:solidFill>
          </w14:textFill>
        </w:rPr>
        <w:t>第三部分   附件</w:t>
      </w:r>
      <w:bookmarkStart w:id="5" w:name="_Hlt524857625"/>
      <w:bookmarkStart w:id="6" w:name="_Hlt524857626"/>
      <w:r>
        <w:rPr>
          <w:rFonts w:hint="eastAsia" w:ascii="宋体" w:hAnsi="宋体" w:eastAsia="宋体"/>
          <w:color w:val="000000" w:themeColor="text1"/>
          <w14:textFill>
            <w14:solidFill>
              <w14:schemeClr w14:val="tx1"/>
            </w14:solidFill>
          </w14:textFill>
        </w:rPr>
        <w:tab/>
      </w:r>
      <w:bookmarkEnd w:id="5"/>
      <w:bookmarkEnd w:id="6"/>
      <w:r>
        <w:rPr>
          <w:rFonts w:hint="eastAsia" w:ascii="宋体" w:hAnsi="宋体" w:eastAsia="宋体"/>
          <w:color w:val="000000" w:themeColor="text1"/>
          <w14:textFill>
            <w14:solidFill>
              <w14:schemeClr w14:val="tx1"/>
            </w14:solidFill>
          </w14:textFill>
        </w:rPr>
        <w:fldChar w:fldCharType="begin"/>
      </w:r>
      <w:r>
        <w:rPr>
          <w:rFonts w:hint="eastAsia" w:ascii="宋体" w:hAnsi="宋体" w:eastAsia="宋体"/>
          <w:color w:val="000000" w:themeColor="text1"/>
          <w14:textFill>
            <w14:solidFill>
              <w14:schemeClr w14:val="tx1"/>
            </w14:solidFill>
          </w14:textFill>
        </w:rPr>
        <w:instrText xml:space="preserve"> PAGEREF _Toc382360963 \h </w:instrText>
      </w:r>
      <w:r>
        <w:rPr>
          <w:rFonts w:hint="eastAsia" w:ascii="宋体" w:hAnsi="宋体" w:eastAsia="宋体"/>
          <w:color w:val="000000" w:themeColor="text1"/>
          <w14:textFill>
            <w14:solidFill>
              <w14:schemeClr w14:val="tx1"/>
            </w14:solidFill>
          </w14:textFill>
        </w:rPr>
        <w:fldChar w:fldCharType="separate"/>
      </w:r>
      <w:r>
        <w:rPr>
          <w:rFonts w:hint="eastAsia" w:ascii="宋体" w:hAnsi="宋体" w:eastAsia="宋体"/>
          <w:color w:val="000000" w:themeColor="text1"/>
          <w14:textFill>
            <w14:solidFill>
              <w14:schemeClr w14:val="tx1"/>
            </w14:solidFill>
          </w14:textFill>
        </w:rPr>
        <w:t>16</w:t>
      </w:r>
      <w:r>
        <w:rPr>
          <w:rFonts w:hint="eastAsia" w:ascii="宋体" w:hAnsi="宋体" w:eastAsia="宋体"/>
          <w:color w:val="000000" w:themeColor="text1"/>
          <w14:textFill>
            <w14:solidFill>
              <w14:schemeClr w14:val="tx1"/>
            </w14:solidFill>
          </w14:textFill>
        </w:rPr>
        <w:fldChar w:fldCharType="end"/>
      </w:r>
      <w:r>
        <w:rPr>
          <w:rFonts w:hint="eastAsia" w:ascii="宋体" w:hAnsi="宋体" w:eastAsia="宋体"/>
          <w:color w:val="000000" w:themeColor="text1"/>
          <w14:textFill>
            <w14:solidFill>
              <w14:schemeClr w14:val="tx1"/>
            </w14:solidFill>
          </w14:textFill>
        </w:rPr>
        <w:fldChar w:fldCharType="end"/>
      </w:r>
    </w:p>
    <w:p>
      <w:pPr>
        <w:pStyle w:val="21"/>
        <w:rPr>
          <w:rFonts w:ascii="宋体" w:hAnsi="宋体" w:eastAsia="宋体" w:cs="Times New Roman"/>
          <w:color w:val="000000" w:themeColor="text1"/>
          <w:sz w:val="21"/>
          <w14:textFill>
            <w14:solidFill>
              <w14:schemeClr w14:val="tx1"/>
            </w14:solidFill>
          </w14:textFill>
        </w:rPr>
      </w:pPr>
      <w:r>
        <w:fldChar w:fldCharType="begin"/>
      </w:r>
      <w:r>
        <w:instrText xml:space="preserve"> HYPERLINK \l "_Toc382360964" </w:instrText>
      </w:r>
      <w:r>
        <w:fldChar w:fldCharType="separate"/>
      </w:r>
      <w:r>
        <w:rPr>
          <w:rStyle w:val="28"/>
          <w:rFonts w:hint="eastAsia" w:ascii="宋体" w:hAnsi="宋体" w:eastAsia="宋体"/>
          <w:color w:val="000000" w:themeColor="text1"/>
          <w14:textFill>
            <w14:solidFill>
              <w14:schemeClr w14:val="tx1"/>
            </w14:solidFill>
          </w14:textFill>
        </w:rPr>
        <w:t>第四部分   招标内容及要求</w:t>
      </w:r>
      <w:r>
        <w:rPr>
          <w:rFonts w:hint="eastAsia" w:ascii="宋体" w:hAnsi="宋体" w:eastAsia="宋体"/>
          <w:color w:val="000000" w:themeColor="text1"/>
          <w14:textFill>
            <w14:solidFill>
              <w14:schemeClr w14:val="tx1"/>
            </w14:solidFill>
          </w14:textFill>
        </w:rPr>
        <w:tab/>
      </w:r>
      <w:r>
        <w:rPr>
          <w:rFonts w:hint="eastAsia" w:ascii="宋体" w:hAnsi="宋体" w:eastAsia="宋体"/>
          <w:color w:val="000000" w:themeColor="text1"/>
          <w14:textFill>
            <w14:solidFill>
              <w14:schemeClr w14:val="tx1"/>
            </w14:solidFill>
          </w14:textFill>
        </w:rPr>
        <w:fldChar w:fldCharType="begin"/>
      </w:r>
      <w:r>
        <w:rPr>
          <w:rFonts w:hint="eastAsia" w:ascii="宋体" w:hAnsi="宋体" w:eastAsia="宋体"/>
          <w:color w:val="000000" w:themeColor="text1"/>
          <w14:textFill>
            <w14:solidFill>
              <w14:schemeClr w14:val="tx1"/>
            </w14:solidFill>
          </w14:textFill>
        </w:rPr>
        <w:instrText xml:space="preserve"> PAGEREF _Toc382360964 \h </w:instrText>
      </w:r>
      <w:r>
        <w:rPr>
          <w:rFonts w:hint="eastAsia" w:ascii="宋体" w:hAnsi="宋体" w:eastAsia="宋体"/>
          <w:color w:val="000000" w:themeColor="text1"/>
          <w14:textFill>
            <w14:solidFill>
              <w14:schemeClr w14:val="tx1"/>
            </w14:solidFill>
          </w14:textFill>
        </w:rPr>
        <w:fldChar w:fldCharType="separate"/>
      </w:r>
      <w:r>
        <w:rPr>
          <w:rFonts w:hint="eastAsia" w:ascii="宋体" w:hAnsi="宋体" w:eastAsia="宋体"/>
          <w:color w:val="000000" w:themeColor="text1"/>
          <w14:textFill>
            <w14:solidFill>
              <w14:schemeClr w14:val="tx1"/>
            </w14:solidFill>
          </w14:textFill>
        </w:rPr>
        <w:t>24</w:t>
      </w:r>
      <w:r>
        <w:rPr>
          <w:rFonts w:hint="eastAsia" w:ascii="宋体" w:hAnsi="宋体" w:eastAsia="宋体"/>
          <w:color w:val="000000" w:themeColor="text1"/>
          <w14:textFill>
            <w14:solidFill>
              <w14:schemeClr w14:val="tx1"/>
            </w14:solidFill>
          </w14:textFill>
        </w:rPr>
        <w:fldChar w:fldCharType="end"/>
      </w:r>
      <w:r>
        <w:rPr>
          <w:rFonts w:hint="eastAsia" w:ascii="宋体" w:hAnsi="宋体" w:eastAsia="宋体"/>
          <w:color w:val="000000" w:themeColor="text1"/>
          <w14:textFill>
            <w14:solidFill>
              <w14:schemeClr w14:val="tx1"/>
            </w14:solidFill>
          </w14:textFill>
        </w:rPr>
        <w:fldChar w:fldCharType="end"/>
      </w:r>
    </w:p>
    <w:p>
      <w:pPr>
        <w:pStyle w:val="21"/>
        <w:rPr>
          <w:rFonts w:ascii="宋体" w:hAnsi="宋体" w:eastAsia="宋体" w:cs="Times New Roman"/>
          <w:color w:val="000000" w:themeColor="text1"/>
          <w:sz w:val="21"/>
          <w14:textFill>
            <w14:solidFill>
              <w14:schemeClr w14:val="tx1"/>
            </w14:solidFill>
          </w14:textFill>
        </w:rPr>
      </w:pPr>
      <w:r>
        <w:fldChar w:fldCharType="begin"/>
      </w:r>
      <w:r>
        <w:instrText xml:space="preserve"> HYPERLINK \l "_Toc382360965" </w:instrText>
      </w:r>
      <w:r>
        <w:fldChar w:fldCharType="separate"/>
      </w:r>
      <w:r>
        <w:rPr>
          <w:rStyle w:val="28"/>
          <w:rFonts w:hint="eastAsia" w:ascii="宋体" w:hAnsi="宋体" w:eastAsia="宋体"/>
          <w:color w:val="000000" w:themeColor="text1"/>
          <w14:textFill>
            <w14:solidFill>
              <w14:schemeClr w14:val="tx1"/>
            </w14:solidFill>
          </w14:textFill>
        </w:rPr>
        <w:t>第五部分   评标原则及方法</w:t>
      </w:r>
      <w:bookmarkStart w:id="7" w:name="_Hlt424650811"/>
      <w:bookmarkStart w:id="8" w:name="_Hlt424650810"/>
      <w:r>
        <w:rPr>
          <w:rFonts w:hint="eastAsia" w:ascii="宋体" w:hAnsi="宋体" w:eastAsia="宋体"/>
          <w:color w:val="000000" w:themeColor="text1"/>
          <w14:textFill>
            <w14:solidFill>
              <w14:schemeClr w14:val="tx1"/>
            </w14:solidFill>
          </w14:textFill>
        </w:rPr>
        <w:tab/>
      </w:r>
      <w:bookmarkEnd w:id="7"/>
      <w:bookmarkEnd w:id="8"/>
      <w:r>
        <w:rPr>
          <w:rFonts w:hint="eastAsia" w:ascii="宋体" w:hAnsi="宋体" w:eastAsia="宋体"/>
          <w:color w:val="000000" w:themeColor="text1"/>
          <w14:textFill>
            <w14:solidFill>
              <w14:schemeClr w14:val="tx1"/>
            </w14:solidFill>
          </w14:textFill>
        </w:rPr>
        <w:fldChar w:fldCharType="begin"/>
      </w:r>
      <w:r>
        <w:rPr>
          <w:rFonts w:hint="eastAsia" w:ascii="宋体" w:hAnsi="宋体" w:eastAsia="宋体"/>
          <w:color w:val="000000" w:themeColor="text1"/>
          <w14:textFill>
            <w14:solidFill>
              <w14:schemeClr w14:val="tx1"/>
            </w14:solidFill>
          </w14:textFill>
        </w:rPr>
        <w:instrText xml:space="preserve"> PAGEREF _Toc382360965 \h </w:instrText>
      </w:r>
      <w:r>
        <w:rPr>
          <w:rFonts w:hint="eastAsia" w:ascii="宋体" w:hAnsi="宋体" w:eastAsia="宋体"/>
          <w:color w:val="000000" w:themeColor="text1"/>
          <w14:textFill>
            <w14:solidFill>
              <w14:schemeClr w14:val="tx1"/>
            </w14:solidFill>
          </w14:textFill>
        </w:rPr>
        <w:fldChar w:fldCharType="separate"/>
      </w:r>
      <w:r>
        <w:rPr>
          <w:rFonts w:hint="eastAsia" w:ascii="宋体" w:hAnsi="宋体" w:eastAsia="宋体"/>
          <w:color w:val="000000" w:themeColor="text1"/>
          <w14:textFill>
            <w14:solidFill>
              <w14:schemeClr w14:val="tx1"/>
            </w14:solidFill>
          </w14:textFill>
        </w:rPr>
        <w:t>27</w:t>
      </w:r>
      <w:r>
        <w:rPr>
          <w:rFonts w:hint="eastAsia" w:ascii="宋体" w:hAnsi="宋体" w:eastAsia="宋体"/>
          <w:color w:val="000000" w:themeColor="text1"/>
          <w14:textFill>
            <w14:solidFill>
              <w14:schemeClr w14:val="tx1"/>
            </w14:solidFill>
          </w14:textFill>
        </w:rPr>
        <w:fldChar w:fldCharType="end"/>
      </w:r>
      <w:r>
        <w:rPr>
          <w:rFonts w:hint="eastAsia" w:ascii="宋体" w:hAnsi="宋体" w:eastAsia="宋体"/>
          <w:color w:val="000000" w:themeColor="text1"/>
          <w14:textFill>
            <w14:solidFill>
              <w14:schemeClr w14:val="tx1"/>
            </w14:solidFill>
          </w14:textFill>
        </w:rPr>
        <w:fldChar w:fldCharType="end"/>
      </w:r>
    </w:p>
    <w:p>
      <w:pPr>
        <w:spacing w:line="480" w:lineRule="auto"/>
        <w:rPr>
          <w:rFonts w:ascii="宋体" w:hAnsi="宋体"/>
          <w:b/>
          <w:bCs/>
          <w:color w:val="000000" w:themeColor="text1"/>
          <w:sz w:val="22"/>
          <w:szCs w:val="22"/>
          <w14:textFill>
            <w14:solidFill>
              <w14:schemeClr w14:val="tx1"/>
            </w14:solidFill>
          </w14:textFill>
        </w:rPr>
      </w:pPr>
      <w:r>
        <w:rPr>
          <w:rFonts w:hint="eastAsia" w:ascii="宋体" w:hAnsi="宋体"/>
          <w:b/>
          <w:bCs/>
          <w:color w:val="000000" w:themeColor="text1"/>
          <w:sz w:val="24"/>
          <w14:textFill>
            <w14:solidFill>
              <w14:schemeClr w14:val="tx1"/>
            </w14:solidFill>
          </w14:textFill>
        </w:rPr>
        <w:fldChar w:fldCharType="end"/>
      </w:r>
    </w:p>
    <w:p>
      <w:pPr>
        <w:spacing w:line="560" w:lineRule="exact"/>
        <w:rPr>
          <w:rFonts w:ascii="宋体" w:hAnsi="宋体"/>
          <w:b/>
          <w:bCs/>
          <w:color w:val="000000" w:themeColor="text1"/>
          <w:sz w:val="22"/>
          <w:szCs w:val="22"/>
          <w14:textFill>
            <w14:solidFill>
              <w14:schemeClr w14:val="tx1"/>
            </w14:solidFill>
          </w14:textFill>
        </w:rPr>
      </w:pPr>
      <w:r>
        <w:rPr>
          <w:rFonts w:hint="eastAsia" w:ascii="宋体" w:hAnsi="宋体"/>
          <w:b/>
          <w:bCs/>
          <w:color w:val="000000" w:themeColor="text1"/>
          <w:sz w:val="22"/>
          <w:szCs w:val="22"/>
          <w14:textFill>
            <w14:solidFill>
              <w14:schemeClr w14:val="tx1"/>
            </w14:solidFill>
          </w14:textFill>
        </w:rPr>
        <w:t>注：</w:t>
      </w:r>
      <w:r>
        <w:rPr>
          <w:rFonts w:hint="eastAsia" w:ascii="宋体" w:hAnsi="宋体" w:cs="Arial"/>
          <w:b/>
          <w:bCs/>
          <w:color w:val="000000" w:themeColor="text1"/>
          <w:sz w:val="22"/>
          <w:szCs w:val="22"/>
          <w14:textFill>
            <w14:solidFill>
              <w14:schemeClr w14:val="tx1"/>
            </w14:solidFill>
          </w14:textFill>
        </w:rPr>
        <w:t>招标文件中部分</w:t>
      </w:r>
      <w:r>
        <w:rPr>
          <w:rFonts w:hint="eastAsia" w:ascii="宋体" w:hAnsi="宋体" w:cs="Arial"/>
          <w:b/>
          <w:bCs/>
          <w:color w:val="000000" w:themeColor="text1"/>
          <w:szCs w:val="21"/>
          <w14:textFill>
            <w14:solidFill>
              <w14:schemeClr w14:val="tx1"/>
            </w14:solidFill>
          </w14:textFill>
        </w:rPr>
        <w:t>加“▲”</w:t>
      </w:r>
      <w:r>
        <w:rPr>
          <w:rFonts w:hint="eastAsia" w:ascii="宋体" w:hAnsi="宋体" w:cs="Arial"/>
          <w:b/>
          <w:bCs/>
          <w:color w:val="000000" w:themeColor="text1"/>
          <w:sz w:val="22"/>
          <w:szCs w:val="22"/>
          <w14:textFill>
            <w14:solidFill>
              <w14:schemeClr w14:val="tx1"/>
            </w14:solidFill>
          </w14:textFill>
        </w:rPr>
        <w:t>及加下划线的条款，为招标的实质性要求和条件，着</w:t>
      </w:r>
      <w:r>
        <w:rPr>
          <w:rFonts w:hint="eastAsia" w:ascii="宋体" w:hAnsi="宋体"/>
          <w:b/>
          <w:bCs/>
          <w:color w:val="000000" w:themeColor="text1"/>
          <w:sz w:val="22"/>
          <w:szCs w:val="22"/>
          <w14:textFill>
            <w14:solidFill>
              <w14:schemeClr w14:val="tx1"/>
            </w14:solidFill>
          </w14:textFill>
        </w:rPr>
        <w:t>重提醒各投标人注意，并认真查看招标文件中的每一个条款及要求，因误读招标文件而造成的后果，招标人概不负责。</w:t>
      </w:r>
    </w:p>
    <w:p>
      <w:pPr>
        <w:pStyle w:val="4"/>
        <w:rPr>
          <w:rFonts w:ascii="Arial" w:hAnsi="宋体" w:eastAsia="宋体" w:cs="Arial"/>
          <w:sz w:val="36"/>
          <w:szCs w:val="36"/>
        </w:rPr>
        <w:sectPr>
          <w:pgSz w:w="11906" w:h="16838"/>
          <w:pgMar w:top="1134" w:right="1134" w:bottom="1134" w:left="1134" w:header="851" w:footer="851" w:gutter="0"/>
          <w:pgBorders>
            <w:top w:val="none" w:sz="0" w:space="0"/>
            <w:left w:val="none" w:sz="0" w:space="0"/>
            <w:bottom w:val="none" w:sz="0" w:space="0"/>
            <w:right w:val="none" w:sz="0" w:space="0"/>
          </w:pgBorders>
          <w:pgNumType w:start="0"/>
          <w:cols w:space="720" w:num="1"/>
          <w:titlePg/>
          <w:docGrid w:linePitch="312" w:charSpace="0"/>
        </w:sectPr>
      </w:pPr>
    </w:p>
    <w:p>
      <w:pPr>
        <w:pStyle w:val="4"/>
        <w:rPr>
          <w:rFonts w:ascii="宋体" w:hAnsi="宋体" w:eastAsia="宋体" w:cs="Arial"/>
          <w:color w:val="000000" w:themeColor="text1"/>
          <w:sz w:val="36"/>
          <w:szCs w:val="36"/>
          <w14:textFill>
            <w14:solidFill>
              <w14:schemeClr w14:val="tx1"/>
            </w14:solidFill>
          </w14:textFill>
        </w:rPr>
      </w:pPr>
      <w:r>
        <w:rPr>
          <w:rFonts w:hint="eastAsia" w:ascii="Arial" w:hAnsi="宋体" w:eastAsia="宋体" w:cs="Arial"/>
          <w:sz w:val="36"/>
          <w:szCs w:val="36"/>
          <w:lang w:val="en-US" w:eastAsia="zh-CN"/>
        </w:rPr>
        <w:t>温州市交投集团金丽温东延线公司皮卡车采购项目的采购</w:t>
      </w:r>
      <w:r>
        <w:rPr>
          <w:rFonts w:ascii="Arial" w:hAnsi="宋体" w:eastAsia="宋体" w:cs="Arial"/>
          <w:sz w:val="36"/>
          <w:szCs w:val="36"/>
        </w:rPr>
        <w:t>公告</w:t>
      </w:r>
    </w:p>
    <w:p>
      <w:pPr>
        <w:spacing w:line="400" w:lineRule="exact"/>
        <w:rPr>
          <w:rFonts w:ascii="宋体" w:hAnsi="宋体"/>
          <w:color w:val="000000" w:themeColor="text1"/>
          <w:sz w:val="28"/>
          <w14:textFill>
            <w14:solidFill>
              <w14:schemeClr w14:val="tx1"/>
            </w14:solidFill>
          </w14:textFill>
        </w:rPr>
      </w:pPr>
    </w:p>
    <w:p>
      <w:pPr>
        <w:widowControl/>
        <w:spacing w:before="60" w:after="60" w:line="400" w:lineRule="exact"/>
        <w:ind w:right="60" w:firstLine="440" w:firstLineChars="200"/>
        <w:jc w:val="left"/>
        <w:rPr>
          <w:rFonts w:ascii="Arial" w:hAnsi="Arial" w:cs="Arial"/>
          <w:bCs/>
          <w:kern w:val="0"/>
          <w:sz w:val="22"/>
          <w:szCs w:val="22"/>
        </w:rPr>
      </w:pPr>
      <w:r>
        <w:rPr>
          <w:rFonts w:ascii="Arial" w:hAnsi="宋体" w:cs="Arial"/>
          <w:kern w:val="0"/>
          <w:sz w:val="22"/>
          <w:szCs w:val="22"/>
        </w:rPr>
        <w:t>根据《温州市国有企业采购管理办法（试行）》等有关规定，</w:t>
      </w:r>
      <w:r>
        <w:rPr>
          <w:rFonts w:hint="eastAsia" w:ascii="Arial" w:hAnsi="宋体" w:cs="Arial"/>
          <w:bCs/>
          <w:kern w:val="0"/>
          <w:sz w:val="22"/>
          <w:szCs w:val="22"/>
        </w:rPr>
        <w:t>浙江鸿银项目管理有限公司受</w:t>
      </w:r>
      <w:r>
        <w:rPr>
          <w:rFonts w:hint="eastAsia" w:ascii="Arial" w:hAnsi="宋体" w:cs="Arial"/>
          <w:bCs/>
          <w:kern w:val="0"/>
          <w:sz w:val="22"/>
          <w:szCs w:val="22"/>
          <w:lang w:eastAsia="zh-CN"/>
        </w:rPr>
        <w:t>温州金丽温高速公路东延线有限公司</w:t>
      </w:r>
      <w:r>
        <w:rPr>
          <w:rFonts w:hint="eastAsia" w:ascii="Arial" w:hAnsi="宋体" w:cs="Arial"/>
          <w:bCs/>
          <w:kern w:val="0"/>
          <w:sz w:val="22"/>
          <w:szCs w:val="22"/>
        </w:rPr>
        <w:t>的委托，就</w:t>
      </w:r>
      <w:r>
        <w:rPr>
          <w:rFonts w:hint="eastAsia" w:ascii="Arial" w:hAnsi="宋体" w:cs="Arial"/>
          <w:bCs/>
          <w:kern w:val="0"/>
          <w:sz w:val="22"/>
          <w:szCs w:val="22"/>
          <w:lang w:eastAsia="zh-CN"/>
        </w:rPr>
        <w:t>皮卡车采购</w:t>
      </w:r>
      <w:r>
        <w:rPr>
          <w:rFonts w:hint="eastAsia" w:ascii="Arial" w:hAnsi="宋体" w:cs="Arial"/>
          <w:bCs/>
          <w:kern w:val="0"/>
          <w:sz w:val="22"/>
          <w:szCs w:val="22"/>
        </w:rPr>
        <w:t>项目进行公</w:t>
      </w:r>
      <w:r>
        <w:rPr>
          <w:rFonts w:ascii="Arial" w:hAnsi="宋体" w:cs="Arial"/>
          <w:bCs/>
          <w:kern w:val="0"/>
          <w:sz w:val="22"/>
          <w:szCs w:val="22"/>
        </w:rPr>
        <w:t>开招标，欢迎合格的投标人前来投标。</w:t>
      </w:r>
    </w:p>
    <w:p>
      <w:pPr>
        <w:widowControl/>
        <w:numPr>
          <w:ilvl w:val="0"/>
          <w:numId w:val="2"/>
        </w:numPr>
        <w:spacing w:before="60" w:after="60" w:line="400" w:lineRule="exact"/>
        <w:ind w:right="60"/>
        <w:jc w:val="left"/>
        <w:rPr>
          <w:rFonts w:ascii="Arial" w:hAnsi="Arial" w:cs="Arial"/>
          <w:bCs/>
          <w:kern w:val="0"/>
          <w:sz w:val="22"/>
          <w:szCs w:val="22"/>
        </w:rPr>
      </w:pPr>
      <w:r>
        <w:rPr>
          <w:rFonts w:ascii="Arial" w:hAnsi="宋体" w:cs="Arial"/>
          <w:bCs/>
          <w:kern w:val="0"/>
          <w:sz w:val="22"/>
          <w:szCs w:val="22"/>
        </w:rPr>
        <w:t>招标项目编</w:t>
      </w:r>
      <w:r>
        <w:rPr>
          <w:rFonts w:ascii="Arial" w:hAnsi="宋体" w:cs="Arial"/>
          <w:kern w:val="0"/>
          <w:sz w:val="22"/>
          <w:szCs w:val="22"/>
        </w:rPr>
        <w:t>号：</w:t>
      </w:r>
      <w:r>
        <w:rPr>
          <w:rFonts w:hint="eastAsia" w:ascii="Arial" w:hAnsi="宋体" w:cs="Arial"/>
          <w:bCs/>
          <w:kern w:val="0"/>
          <w:sz w:val="22"/>
          <w:szCs w:val="22"/>
          <w:lang w:val="en-US" w:eastAsia="zh-CN"/>
        </w:rPr>
        <w:t>HYPM-19100820</w:t>
      </w:r>
    </w:p>
    <w:p>
      <w:pPr>
        <w:widowControl/>
        <w:numPr>
          <w:ilvl w:val="0"/>
          <w:numId w:val="2"/>
        </w:numPr>
        <w:spacing w:before="60" w:after="60" w:line="400" w:lineRule="exact"/>
        <w:ind w:right="60"/>
        <w:jc w:val="left"/>
        <w:rPr>
          <w:rFonts w:ascii="Arial" w:hAnsi="Arial" w:cs="Arial"/>
          <w:bCs/>
          <w:kern w:val="0"/>
          <w:sz w:val="22"/>
          <w:szCs w:val="22"/>
        </w:rPr>
      </w:pPr>
      <w:r>
        <w:rPr>
          <w:rFonts w:ascii="Arial" w:hAnsi="宋体" w:cs="Arial"/>
          <w:bCs/>
          <w:kern w:val="0"/>
          <w:sz w:val="22"/>
          <w:szCs w:val="22"/>
        </w:rPr>
        <w:t>招标项目概况（内容、用途、数量、简要技术要求等）：</w:t>
      </w:r>
    </w:p>
    <w:p>
      <w:pPr>
        <w:widowControl/>
        <w:spacing w:before="60" w:after="60" w:line="400" w:lineRule="exact"/>
        <w:ind w:firstLine="325" w:firstLineChars="147"/>
        <w:jc w:val="left"/>
        <w:rPr>
          <w:rFonts w:ascii="Arial" w:hAnsi="Arial" w:cs="Arial"/>
          <w:b/>
          <w:bCs/>
          <w:kern w:val="0"/>
          <w:sz w:val="22"/>
          <w:szCs w:val="22"/>
        </w:rPr>
      </w:pPr>
      <w:r>
        <w:rPr>
          <w:rFonts w:hint="eastAsia" w:ascii="Arial" w:hAnsi="宋体" w:cs="Arial"/>
          <w:b/>
          <w:bCs/>
          <w:kern w:val="0"/>
          <w:sz w:val="22"/>
          <w:szCs w:val="22"/>
          <w:lang w:eastAsia="zh-CN"/>
        </w:rPr>
        <w:t>皮卡车采购</w:t>
      </w:r>
      <w:r>
        <w:rPr>
          <w:rFonts w:ascii="Arial" w:hAnsi="宋体" w:cs="Arial"/>
          <w:b/>
          <w:bCs/>
          <w:kern w:val="0"/>
          <w:sz w:val="22"/>
          <w:szCs w:val="22"/>
        </w:rPr>
        <w:t>，招标内容及要求如下：</w:t>
      </w:r>
    </w:p>
    <w:tbl>
      <w:tblPr>
        <w:tblStyle w:val="30"/>
        <w:tblW w:w="9095" w:type="dxa"/>
        <w:jc w:val="center"/>
        <w:tblInd w:w="0" w:type="dxa"/>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Layout w:type="fixed"/>
        <w:tblCellMar>
          <w:top w:w="0" w:type="dxa"/>
          <w:left w:w="108" w:type="dxa"/>
          <w:bottom w:w="0" w:type="dxa"/>
          <w:right w:w="108" w:type="dxa"/>
        </w:tblCellMar>
      </w:tblPr>
      <w:tblGrid>
        <w:gridCol w:w="3534"/>
        <w:gridCol w:w="718"/>
        <w:gridCol w:w="851"/>
        <w:gridCol w:w="1417"/>
        <w:gridCol w:w="2575"/>
      </w:tblGrid>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Layout w:type="fixed"/>
          <w:tblCellMar>
            <w:top w:w="0" w:type="dxa"/>
            <w:left w:w="108" w:type="dxa"/>
            <w:bottom w:w="0" w:type="dxa"/>
            <w:right w:w="108" w:type="dxa"/>
          </w:tblCellMar>
        </w:tblPrEx>
        <w:trPr>
          <w:trHeight w:val="20" w:hRule="atLeast"/>
          <w:jc w:val="center"/>
        </w:trPr>
        <w:tc>
          <w:tcPr>
            <w:tcW w:w="3534" w:type="dxa"/>
            <w:tcMar>
              <w:top w:w="0" w:type="dxa"/>
              <w:left w:w="108" w:type="dxa"/>
              <w:bottom w:w="0" w:type="dxa"/>
              <w:right w:w="108" w:type="dxa"/>
            </w:tcMar>
            <w:vAlign w:val="center"/>
          </w:tcPr>
          <w:p>
            <w:pPr>
              <w:widowControl/>
              <w:adjustRightInd w:val="0"/>
              <w:snapToGrid w:val="0"/>
              <w:jc w:val="center"/>
              <w:rPr>
                <w:rFonts w:ascii="Arial" w:hAnsi="Arial" w:cs="Arial"/>
                <w:bCs/>
                <w:snapToGrid w:val="0"/>
                <w:color w:val="auto"/>
                <w:kern w:val="0"/>
                <w:sz w:val="22"/>
                <w:szCs w:val="22"/>
              </w:rPr>
            </w:pPr>
            <w:r>
              <w:rPr>
                <w:rFonts w:ascii="Arial" w:hAnsi="宋体" w:cs="Arial"/>
                <w:bCs/>
                <w:snapToGrid w:val="0"/>
                <w:color w:val="auto"/>
                <w:kern w:val="0"/>
                <w:sz w:val="22"/>
                <w:szCs w:val="22"/>
              </w:rPr>
              <w:t>招标内容</w:t>
            </w:r>
          </w:p>
        </w:tc>
        <w:tc>
          <w:tcPr>
            <w:tcW w:w="718" w:type="dxa"/>
            <w:tcMar>
              <w:top w:w="0" w:type="dxa"/>
              <w:left w:w="108" w:type="dxa"/>
              <w:bottom w:w="0" w:type="dxa"/>
              <w:right w:w="108" w:type="dxa"/>
            </w:tcMar>
            <w:vAlign w:val="center"/>
          </w:tcPr>
          <w:p>
            <w:pPr>
              <w:widowControl/>
              <w:adjustRightInd w:val="0"/>
              <w:snapToGrid w:val="0"/>
              <w:jc w:val="center"/>
              <w:rPr>
                <w:rFonts w:ascii="Arial" w:hAnsi="Arial" w:cs="Arial"/>
                <w:bCs/>
                <w:snapToGrid w:val="0"/>
                <w:color w:val="auto"/>
                <w:kern w:val="0"/>
                <w:sz w:val="22"/>
                <w:szCs w:val="22"/>
              </w:rPr>
            </w:pPr>
            <w:r>
              <w:rPr>
                <w:rFonts w:ascii="Arial" w:hAnsi="宋体" w:cs="Arial"/>
                <w:bCs/>
                <w:snapToGrid w:val="0"/>
                <w:color w:val="auto"/>
                <w:kern w:val="0"/>
                <w:sz w:val="22"/>
                <w:szCs w:val="22"/>
              </w:rPr>
              <w:t>数量</w:t>
            </w:r>
          </w:p>
        </w:tc>
        <w:tc>
          <w:tcPr>
            <w:tcW w:w="851" w:type="dxa"/>
            <w:tcMar>
              <w:top w:w="0" w:type="dxa"/>
              <w:left w:w="108" w:type="dxa"/>
              <w:bottom w:w="0" w:type="dxa"/>
              <w:right w:w="108" w:type="dxa"/>
            </w:tcMar>
            <w:vAlign w:val="center"/>
          </w:tcPr>
          <w:p>
            <w:pPr>
              <w:widowControl/>
              <w:adjustRightInd w:val="0"/>
              <w:snapToGrid w:val="0"/>
              <w:jc w:val="center"/>
              <w:rPr>
                <w:rFonts w:ascii="Arial" w:hAnsi="Arial" w:cs="Arial"/>
                <w:bCs/>
                <w:snapToGrid w:val="0"/>
                <w:color w:val="auto"/>
                <w:kern w:val="0"/>
                <w:sz w:val="22"/>
                <w:szCs w:val="22"/>
              </w:rPr>
            </w:pPr>
            <w:r>
              <w:rPr>
                <w:rFonts w:ascii="Arial" w:hAnsi="宋体" w:cs="Arial"/>
                <w:bCs/>
                <w:snapToGrid w:val="0"/>
                <w:color w:val="auto"/>
                <w:kern w:val="0"/>
                <w:sz w:val="22"/>
                <w:szCs w:val="22"/>
              </w:rPr>
              <w:t>单位</w:t>
            </w:r>
          </w:p>
        </w:tc>
        <w:tc>
          <w:tcPr>
            <w:tcW w:w="1417" w:type="dxa"/>
            <w:tcMar>
              <w:top w:w="0" w:type="dxa"/>
              <w:left w:w="108" w:type="dxa"/>
              <w:bottom w:w="0" w:type="dxa"/>
              <w:right w:w="108" w:type="dxa"/>
            </w:tcMar>
            <w:vAlign w:val="center"/>
          </w:tcPr>
          <w:p>
            <w:pPr>
              <w:widowControl/>
              <w:spacing w:before="60" w:after="60" w:line="400" w:lineRule="exact"/>
              <w:ind w:left="60" w:right="60"/>
              <w:jc w:val="center"/>
              <w:rPr>
                <w:rFonts w:ascii="Arial" w:hAnsi="Arial" w:cs="Arial"/>
                <w:bCs/>
                <w:snapToGrid w:val="0"/>
                <w:color w:val="auto"/>
                <w:kern w:val="0"/>
                <w:sz w:val="22"/>
                <w:szCs w:val="22"/>
              </w:rPr>
            </w:pPr>
            <w:r>
              <w:rPr>
                <w:rFonts w:hint="eastAsia" w:ascii="Arial" w:hAnsi="宋体" w:cs="Arial"/>
                <w:bCs/>
                <w:color w:val="auto"/>
                <w:kern w:val="0"/>
                <w:sz w:val="22"/>
                <w:szCs w:val="22"/>
              </w:rPr>
              <w:t>采购预算</w:t>
            </w:r>
            <w:r>
              <w:rPr>
                <w:rFonts w:ascii="Arial" w:hAnsi="Arial" w:cs="Arial"/>
                <w:bCs/>
                <w:color w:val="auto"/>
                <w:kern w:val="0"/>
                <w:sz w:val="22"/>
                <w:szCs w:val="22"/>
              </w:rPr>
              <w:t xml:space="preserve">   (</w:t>
            </w:r>
            <w:r>
              <w:rPr>
                <w:rFonts w:ascii="Arial" w:hAnsi="宋体" w:cs="Arial"/>
                <w:bCs/>
                <w:color w:val="auto"/>
                <w:kern w:val="0"/>
                <w:sz w:val="22"/>
                <w:szCs w:val="22"/>
              </w:rPr>
              <w:t>万元</w:t>
            </w:r>
            <w:r>
              <w:rPr>
                <w:rFonts w:ascii="Arial" w:hAnsi="Arial" w:cs="Arial"/>
                <w:bCs/>
                <w:color w:val="auto"/>
                <w:kern w:val="0"/>
                <w:sz w:val="22"/>
                <w:szCs w:val="22"/>
              </w:rPr>
              <w:t>)</w:t>
            </w:r>
          </w:p>
        </w:tc>
        <w:tc>
          <w:tcPr>
            <w:tcW w:w="2575" w:type="dxa"/>
            <w:tcMar>
              <w:top w:w="0" w:type="dxa"/>
              <w:left w:w="108" w:type="dxa"/>
              <w:bottom w:w="0" w:type="dxa"/>
              <w:right w:w="108" w:type="dxa"/>
            </w:tcMar>
            <w:vAlign w:val="center"/>
          </w:tcPr>
          <w:p>
            <w:pPr>
              <w:widowControl/>
              <w:adjustRightInd w:val="0"/>
              <w:snapToGrid w:val="0"/>
              <w:jc w:val="center"/>
              <w:rPr>
                <w:rFonts w:ascii="Arial" w:hAnsi="Arial" w:cs="Arial"/>
                <w:bCs/>
                <w:snapToGrid w:val="0"/>
                <w:color w:val="auto"/>
                <w:kern w:val="0"/>
                <w:sz w:val="22"/>
                <w:szCs w:val="22"/>
              </w:rPr>
            </w:pPr>
            <w:r>
              <w:rPr>
                <w:rFonts w:ascii="Arial" w:hAnsi="宋体" w:cs="Arial"/>
                <w:bCs/>
                <w:snapToGrid w:val="0"/>
                <w:color w:val="auto"/>
                <w:kern w:val="0"/>
                <w:sz w:val="22"/>
                <w:szCs w:val="22"/>
              </w:rPr>
              <w:t>简要技术要求、用途</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Layout w:type="fixed"/>
          <w:tblCellMar>
            <w:top w:w="0" w:type="dxa"/>
            <w:left w:w="108" w:type="dxa"/>
            <w:bottom w:w="0" w:type="dxa"/>
            <w:right w:w="108" w:type="dxa"/>
          </w:tblCellMar>
        </w:tblPrEx>
        <w:trPr>
          <w:trHeight w:val="20" w:hRule="atLeast"/>
          <w:jc w:val="center"/>
        </w:trPr>
        <w:tc>
          <w:tcPr>
            <w:tcW w:w="3534" w:type="dxa"/>
            <w:tcMar>
              <w:top w:w="0" w:type="dxa"/>
              <w:left w:w="108" w:type="dxa"/>
              <w:bottom w:w="0" w:type="dxa"/>
              <w:right w:w="108" w:type="dxa"/>
            </w:tcMar>
            <w:vAlign w:val="center"/>
          </w:tcPr>
          <w:p>
            <w:pPr>
              <w:widowControl/>
              <w:adjustRightInd w:val="0"/>
              <w:snapToGrid w:val="0"/>
              <w:jc w:val="center"/>
              <w:rPr>
                <w:rFonts w:hint="eastAsia" w:ascii="Arial" w:hAnsi="Arial" w:eastAsia="宋体" w:cs="Arial"/>
                <w:bCs/>
                <w:snapToGrid w:val="0"/>
                <w:color w:val="auto"/>
                <w:kern w:val="0"/>
                <w:sz w:val="22"/>
                <w:szCs w:val="22"/>
                <w:lang w:eastAsia="zh-CN"/>
              </w:rPr>
            </w:pPr>
            <w:r>
              <w:rPr>
                <w:rFonts w:hint="eastAsia" w:ascii="Arial" w:hAnsi="Arial" w:cs="Arial"/>
                <w:bCs/>
                <w:snapToGrid w:val="0"/>
                <w:color w:val="auto"/>
                <w:kern w:val="0"/>
                <w:sz w:val="22"/>
                <w:szCs w:val="22"/>
                <w:lang w:eastAsia="zh-CN"/>
              </w:rPr>
              <w:t>皮卡车采购</w:t>
            </w:r>
          </w:p>
        </w:tc>
        <w:tc>
          <w:tcPr>
            <w:tcW w:w="718" w:type="dxa"/>
            <w:tcMar>
              <w:top w:w="0" w:type="dxa"/>
              <w:left w:w="108" w:type="dxa"/>
              <w:bottom w:w="0" w:type="dxa"/>
              <w:right w:w="108" w:type="dxa"/>
            </w:tcMar>
            <w:vAlign w:val="center"/>
          </w:tcPr>
          <w:p>
            <w:pPr>
              <w:widowControl/>
              <w:adjustRightInd w:val="0"/>
              <w:snapToGrid w:val="0"/>
              <w:jc w:val="center"/>
              <w:rPr>
                <w:rFonts w:ascii="Arial" w:hAnsi="Arial" w:cs="Arial"/>
                <w:bCs/>
                <w:snapToGrid w:val="0"/>
                <w:color w:val="auto"/>
                <w:kern w:val="0"/>
                <w:sz w:val="22"/>
                <w:szCs w:val="22"/>
              </w:rPr>
            </w:pPr>
            <w:r>
              <w:rPr>
                <w:rFonts w:hint="eastAsia" w:ascii="Arial" w:hAnsi="Arial" w:cs="Arial"/>
                <w:bCs/>
                <w:snapToGrid w:val="0"/>
                <w:color w:val="auto"/>
                <w:kern w:val="0"/>
                <w:sz w:val="22"/>
                <w:szCs w:val="22"/>
              </w:rPr>
              <w:t>8</w:t>
            </w:r>
          </w:p>
        </w:tc>
        <w:tc>
          <w:tcPr>
            <w:tcW w:w="851" w:type="dxa"/>
            <w:tcMar>
              <w:top w:w="0" w:type="dxa"/>
              <w:left w:w="108" w:type="dxa"/>
              <w:bottom w:w="0" w:type="dxa"/>
              <w:right w:w="108" w:type="dxa"/>
            </w:tcMar>
            <w:vAlign w:val="center"/>
          </w:tcPr>
          <w:p>
            <w:pPr>
              <w:widowControl/>
              <w:adjustRightInd w:val="0"/>
              <w:snapToGrid w:val="0"/>
              <w:jc w:val="center"/>
              <w:rPr>
                <w:rFonts w:ascii="Arial" w:hAnsi="Arial" w:cs="Arial"/>
                <w:bCs/>
                <w:snapToGrid w:val="0"/>
                <w:color w:val="auto"/>
                <w:kern w:val="0"/>
                <w:sz w:val="22"/>
                <w:szCs w:val="22"/>
              </w:rPr>
            </w:pPr>
            <w:r>
              <w:rPr>
                <w:rFonts w:ascii="Arial" w:hAnsi="宋体" w:cs="Arial"/>
                <w:bCs/>
                <w:snapToGrid w:val="0"/>
                <w:color w:val="auto"/>
                <w:kern w:val="0"/>
                <w:sz w:val="22"/>
                <w:szCs w:val="22"/>
              </w:rPr>
              <w:t>辆</w:t>
            </w:r>
          </w:p>
        </w:tc>
        <w:tc>
          <w:tcPr>
            <w:tcW w:w="1417" w:type="dxa"/>
            <w:tcMar>
              <w:top w:w="0" w:type="dxa"/>
              <w:left w:w="108" w:type="dxa"/>
              <w:bottom w:w="0" w:type="dxa"/>
              <w:right w:w="108" w:type="dxa"/>
            </w:tcMar>
            <w:vAlign w:val="center"/>
          </w:tcPr>
          <w:p>
            <w:pPr>
              <w:widowControl/>
              <w:spacing w:before="60" w:after="60" w:line="400" w:lineRule="exact"/>
              <w:jc w:val="center"/>
              <w:rPr>
                <w:rFonts w:ascii="Arial" w:hAnsi="Arial" w:cs="Arial"/>
                <w:bCs/>
                <w:snapToGrid w:val="0"/>
                <w:color w:val="auto"/>
                <w:kern w:val="0"/>
                <w:sz w:val="22"/>
                <w:szCs w:val="22"/>
              </w:rPr>
            </w:pPr>
            <w:r>
              <w:rPr>
                <w:rFonts w:hint="eastAsia" w:ascii="Arial" w:hAnsi="Arial" w:cs="Arial"/>
                <w:bCs/>
                <w:snapToGrid w:val="0"/>
                <w:color w:val="auto"/>
                <w:kern w:val="0"/>
                <w:sz w:val="22"/>
                <w:szCs w:val="22"/>
              </w:rPr>
              <w:t>104</w:t>
            </w:r>
          </w:p>
        </w:tc>
        <w:tc>
          <w:tcPr>
            <w:tcW w:w="2575" w:type="dxa"/>
            <w:tcMar>
              <w:top w:w="0" w:type="dxa"/>
              <w:left w:w="108" w:type="dxa"/>
              <w:bottom w:w="0" w:type="dxa"/>
              <w:right w:w="108" w:type="dxa"/>
            </w:tcMar>
            <w:vAlign w:val="center"/>
          </w:tcPr>
          <w:p>
            <w:pPr>
              <w:widowControl/>
              <w:adjustRightInd w:val="0"/>
              <w:snapToGrid w:val="0"/>
              <w:jc w:val="center"/>
              <w:rPr>
                <w:rFonts w:ascii="Arial" w:hAnsi="Arial" w:cs="Arial"/>
                <w:bCs/>
                <w:snapToGrid w:val="0"/>
                <w:color w:val="auto"/>
                <w:kern w:val="0"/>
                <w:sz w:val="22"/>
                <w:szCs w:val="22"/>
              </w:rPr>
            </w:pPr>
            <w:r>
              <w:rPr>
                <w:rFonts w:ascii="Arial" w:hAnsi="宋体" w:cs="Arial"/>
                <w:bCs/>
                <w:snapToGrid w:val="0"/>
                <w:color w:val="auto"/>
                <w:kern w:val="0"/>
                <w:sz w:val="22"/>
                <w:szCs w:val="22"/>
              </w:rPr>
              <w:t>具体招标内容及要求见本招标文件相关部分。</w:t>
            </w:r>
          </w:p>
        </w:tc>
      </w:tr>
    </w:tbl>
    <w:p>
      <w:pPr>
        <w:widowControl/>
        <w:spacing w:before="60" w:after="60" w:line="400" w:lineRule="exact"/>
        <w:ind w:left="60" w:right="60"/>
        <w:jc w:val="left"/>
        <w:rPr>
          <w:rFonts w:ascii="Arial" w:hAnsi="Arial" w:cs="Arial"/>
          <w:bCs/>
          <w:kern w:val="0"/>
          <w:sz w:val="22"/>
          <w:szCs w:val="22"/>
        </w:rPr>
      </w:pPr>
      <w:bookmarkStart w:id="9" w:name="B09_招标内容"/>
      <w:bookmarkEnd w:id="9"/>
      <w:r>
        <w:rPr>
          <w:rFonts w:ascii="Arial" w:hAnsi="宋体" w:cs="Arial"/>
          <w:bCs/>
          <w:kern w:val="0"/>
          <w:sz w:val="22"/>
          <w:szCs w:val="22"/>
        </w:rPr>
        <w:t>三、投标人资格要求：</w:t>
      </w:r>
    </w:p>
    <w:p>
      <w:pPr>
        <w:widowControl/>
        <w:spacing w:before="60" w:after="60" w:line="400" w:lineRule="exact"/>
        <w:ind w:left="60" w:right="60"/>
        <w:jc w:val="left"/>
        <w:rPr>
          <w:rFonts w:ascii="Arial" w:hAnsi="Arial" w:cs="Arial"/>
          <w:bCs/>
          <w:kern w:val="0"/>
          <w:sz w:val="22"/>
          <w:szCs w:val="22"/>
        </w:rPr>
      </w:pPr>
      <w:r>
        <w:rPr>
          <w:rFonts w:ascii="Arial" w:hAnsi="Arial" w:cs="Arial"/>
          <w:bCs/>
          <w:kern w:val="0"/>
          <w:sz w:val="22"/>
          <w:szCs w:val="22"/>
        </w:rPr>
        <w:t xml:space="preserve">   1</w:t>
      </w:r>
      <w:r>
        <w:rPr>
          <w:rFonts w:ascii="Arial" w:hAnsi="宋体" w:cs="Arial"/>
          <w:bCs/>
          <w:kern w:val="0"/>
          <w:sz w:val="22"/>
          <w:szCs w:val="22"/>
        </w:rPr>
        <w:t>、符合《温州市国有企业采购管理办法（试行）》</w:t>
      </w:r>
      <w:r>
        <w:rPr>
          <w:rFonts w:hint="eastAsia" w:ascii="Arial" w:hAnsi="宋体" w:cs="Arial"/>
          <w:bCs/>
          <w:kern w:val="0"/>
          <w:sz w:val="22"/>
          <w:szCs w:val="22"/>
        </w:rPr>
        <w:t>第十一条</w:t>
      </w:r>
      <w:r>
        <w:rPr>
          <w:rFonts w:ascii="Arial" w:hAnsi="宋体" w:cs="Arial"/>
          <w:bCs/>
          <w:kern w:val="0"/>
          <w:sz w:val="22"/>
          <w:szCs w:val="22"/>
        </w:rPr>
        <w:t>投标人参加采购活动应当具备的条件；</w:t>
      </w:r>
    </w:p>
    <w:p>
      <w:pPr>
        <w:widowControl/>
        <w:spacing w:before="60" w:after="60" w:line="400" w:lineRule="exact"/>
        <w:ind w:right="60" w:firstLine="440" w:firstLineChars="200"/>
        <w:jc w:val="left"/>
        <w:rPr>
          <w:rFonts w:ascii="Arial" w:hAnsi="Arial" w:cs="Arial"/>
          <w:bCs/>
          <w:kern w:val="0"/>
          <w:sz w:val="22"/>
          <w:szCs w:val="22"/>
        </w:rPr>
      </w:pPr>
      <w:r>
        <w:rPr>
          <w:rFonts w:ascii="Arial" w:hAnsi="Arial" w:cs="Arial"/>
          <w:bCs/>
          <w:kern w:val="0"/>
          <w:sz w:val="22"/>
          <w:szCs w:val="22"/>
        </w:rPr>
        <w:t>2</w:t>
      </w:r>
      <w:r>
        <w:rPr>
          <w:rFonts w:ascii="Arial" w:hAnsi="宋体" w:cs="Arial"/>
          <w:bCs/>
          <w:kern w:val="0"/>
          <w:sz w:val="22"/>
          <w:szCs w:val="22"/>
        </w:rPr>
        <w:t>、</w:t>
      </w:r>
      <w:r>
        <w:rPr>
          <w:rFonts w:ascii="Arial" w:hAnsi="宋体" w:cs="Arial"/>
          <w:sz w:val="22"/>
          <w:szCs w:val="22"/>
        </w:rPr>
        <w:t>本项目不接受联合体投标。</w:t>
      </w:r>
    </w:p>
    <w:p>
      <w:pPr>
        <w:widowControl/>
        <w:spacing w:before="60" w:after="60" w:line="400" w:lineRule="exact"/>
        <w:ind w:left="60" w:right="60"/>
        <w:jc w:val="left"/>
        <w:rPr>
          <w:rFonts w:ascii="Arial" w:hAnsi="Arial" w:cs="Arial"/>
          <w:bCs/>
          <w:kern w:val="0"/>
          <w:sz w:val="22"/>
          <w:szCs w:val="22"/>
        </w:rPr>
      </w:pPr>
      <w:r>
        <w:rPr>
          <w:rFonts w:ascii="Arial" w:hAnsi="宋体" w:cs="Arial"/>
          <w:bCs/>
          <w:kern w:val="0"/>
          <w:sz w:val="22"/>
          <w:szCs w:val="22"/>
        </w:rPr>
        <w:t>四、报名、购领招标文件时间及地点：</w:t>
      </w:r>
    </w:p>
    <w:p>
      <w:pPr>
        <w:widowControl/>
        <w:spacing w:line="400" w:lineRule="exact"/>
        <w:ind w:left="439" w:leftChars="209"/>
        <w:jc w:val="left"/>
        <w:rPr>
          <w:rFonts w:ascii="Arial" w:hAnsi="Arial" w:cs="Arial"/>
          <w:sz w:val="22"/>
          <w:szCs w:val="22"/>
        </w:rPr>
      </w:pPr>
      <w:r>
        <w:rPr>
          <w:rFonts w:ascii="Arial" w:hAnsi="宋体" w:cs="Arial"/>
          <w:sz w:val="22"/>
          <w:szCs w:val="22"/>
        </w:rPr>
        <w:t>报名方式：在浙江政府采购网</w:t>
      </w:r>
      <w:r>
        <w:rPr>
          <w:rFonts w:ascii="Arial" w:hAnsi="Arial" w:cs="Arial"/>
          <w:sz w:val="22"/>
          <w:szCs w:val="22"/>
        </w:rPr>
        <w:t>“</w:t>
      </w:r>
      <w:r>
        <w:rPr>
          <w:rFonts w:ascii="Arial" w:hAnsi="宋体" w:cs="Arial"/>
          <w:sz w:val="22"/>
          <w:szCs w:val="22"/>
        </w:rPr>
        <w:t>采购云</w:t>
      </w:r>
      <w:r>
        <w:rPr>
          <w:rFonts w:ascii="Arial" w:hAnsi="Arial" w:cs="Arial"/>
          <w:sz w:val="22"/>
          <w:szCs w:val="22"/>
        </w:rPr>
        <w:t>”</w:t>
      </w:r>
      <w:r>
        <w:rPr>
          <w:rFonts w:ascii="Arial" w:hAnsi="宋体" w:cs="Arial"/>
          <w:sz w:val="22"/>
          <w:szCs w:val="22"/>
        </w:rPr>
        <w:t>平台</w:t>
      </w:r>
      <w:r>
        <w:rPr>
          <w:rFonts w:ascii="Arial" w:hAnsi="Arial" w:cs="Arial"/>
          <w:sz w:val="22"/>
          <w:szCs w:val="22"/>
        </w:rPr>
        <w:t>”</w:t>
      </w:r>
      <w:r>
        <w:rPr>
          <w:rFonts w:ascii="Arial" w:hAnsi="宋体" w:cs="Arial"/>
          <w:sz w:val="22"/>
          <w:szCs w:val="22"/>
        </w:rPr>
        <w:t>（</w:t>
      </w:r>
      <w:r>
        <w:rPr>
          <w:rFonts w:hint="eastAsia" w:ascii="Arial" w:hAnsi="Arial" w:cs="Arial"/>
          <w:sz w:val="22"/>
          <w:szCs w:val="22"/>
        </w:rPr>
        <w:t>https://www.zcygov.cn/</w:t>
      </w:r>
      <w:r>
        <w:rPr>
          <w:rFonts w:ascii="Arial" w:hAnsi="宋体" w:cs="Arial"/>
          <w:sz w:val="22"/>
          <w:szCs w:val="22"/>
        </w:rPr>
        <w:t>）上自主报名（未注册的供应商请尽早注册，客服电话：</w:t>
      </w:r>
      <w:r>
        <w:rPr>
          <w:rFonts w:ascii="Arial" w:hAnsi="Arial" w:cs="Arial"/>
          <w:sz w:val="22"/>
          <w:szCs w:val="22"/>
        </w:rPr>
        <w:t>400-881-7190</w:t>
      </w:r>
      <w:r>
        <w:rPr>
          <w:rFonts w:ascii="Arial" w:hAnsi="宋体" w:cs="Arial"/>
          <w:sz w:val="22"/>
          <w:szCs w:val="22"/>
        </w:rPr>
        <w:t>），报名成功后，将书面报名资料提交至招标代理机构并办理购买招标文件事宜。</w:t>
      </w:r>
    </w:p>
    <w:p>
      <w:pPr>
        <w:widowControl/>
        <w:spacing w:line="400" w:lineRule="exact"/>
        <w:ind w:left="439" w:leftChars="209"/>
        <w:jc w:val="left"/>
        <w:rPr>
          <w:rFonts w:hint="eastAsia" w:ascii="Arial" w:hAnsi="宋体" w:cs="Arial"/>
          <w:kern w:val="0"/>
          <w:sz w:val="22"/>
          <w:szCs w:val="22"/>
        </w:rPr>
      </w:pPr>
      <w:r>
        <w:rPr>
          <w:rFonts w:hint="eastAsia" w:ascii="Arial" w:hAnsi="宋体" w:cs="Arial"/>
          <w:kern w:val="0"/>
          <w:sz w:val="22"/>
          <w:szCs w:val="22"/>
        </w:rPr>
        <w:t>报名开始时间：</w:t>
      </w:r>
      <w:r>
        <w:rPr>
          <w:rFonts w:hint="eastAsia" w:ascii="Arial" w:hAnsi="宋体" w:cs="Arial"/>
          <w:kern w:val="0"/>
          <w:sz w:val="22"/>
          <w:szCs w:val="22"/>
          <w:lang w:eastAsia="zh-CN"/>
        </w:rPr>
        <w:t>公告发布之日起</w:t>
      </w:r>
      <w:r>
        <w:rPr>
          <w:rFonts w:hint="eastAsia" w:ascii="Arial" w:hAnsi="宋体" w:cs="Arial"/>
          <w:kern w:val="0"/>
          <w:sz w:val="22"/>
          <w:szCs w:val="22"/>
        </w:rPr>
        <w:t>（上午8:30-11:30，下午14:00-17:00，法定休息日除外）；</w:t>
      </w:r>
    </w:p>
    <w:p>
      <w:pPr>
        <w:widowControl/>
        <w:spacing w:line="400" w:lineRule="exact"/>
        <w:ind w:left="439" w:leftChars="209"/>
        <w:jc w:val="left"/>
        <w:rPr>
          <w:rFonts w:ascii="Arial" w:hAnsi="Arial" w:cs="Arial"/>
          <w:kern w:val="0"/>
          <w:sz w:val="22"/>
          <w:szCs w:val="22"/>
        </w:rPr>
      </w:pPr>
      <w:r>
        <w:rPr>
          <w:rFonts w:hint="eastAsia" w:ascii="Arial" w:hAnsi="宋体" w:cs="Arial"/>
          <w:kern w:val="0"/>
          <w:sz w:val="22"/>
          <w:szCs w:val="22"/>
        </w:rPr>
        <w:t>发售招标文件时间：</w:t>
      </w:r>
      <w:r>
        <w:rPr>
          <w:rFonts w:hint="eastAsia" w:ascii="Arial" w:hAnsi="宋体" w:cs="Arial"/>
          <w:kern w:val="0"/>
          <w:sz w:val="22"/>
          <w:szCs w:val="22"/>
          <w:lang w:eastAsia="zh-CN"/>
        </w:rPr>
        <w:t>公告发布之日起</w:t>
      </w:r>
      <w:r>
        <w:rPr>
          <w:rFonts w:hint="eastAsia" w:ascii="Arial" w:hAnsi="宋体" w:cs="Arial"/>
          <w:kern w:val="0"/>
          <w:sz w:val="22"/>
          <w:szCs w:val="22"/>
        </w:rPr>
        <w:t>至</w:t>
      </w:r>
      <w:r>
        <w:rPr>
          <w:rFonts w:hint="eastAsia" w:ascii="Arial" w:hAnsi="宋体" w:cs="Arial"/>
          <w:kern w:val="0"/>
          <w:sz w:val="22"/>
          <w:szCs w:val="22"/>
          <w:lang w:eastAsia="zh-CN"/>
        </w:rPr>
        <w:t>开标截止时间前</w:t>
      </w:r>
      <w:r>
        <w:rPr>
          <w:rFonts w:hint="eastAsia" w:ascii="Arial" w:hAnsi="宋体" w:cs="Arial"/>
          <w:kern w:val="0"/>
          <w:sz w:val="22"/>
          <w:szCs w:val="22"/>
        </w:rPr>
        <w:t>(双休日及法定节假日除外)上午 8:30-11:30，下午 14:00-17:00；未报名的潜在投标人拒绝参加投标。投标人如对招标文件有异议应按招标文件规定时间提出，逾期提出的，招标代理组织机构可不予受理、答复）</w:t>
      </w:r>
    </w:p>
    <w:p>
      <w:pPr>
        <w:widowControl/>
        <w:spacing w:line="400" w:lineRule="exact"/>
        <w:ind w:firstLine="440" w:firstLineChars="200"/>
        <w:jc w:val="left"/>
        <w:rPr>
          <w:rFonts w:ascii="Arial" w:hAnsi="Arial" w:cs="Arial"/>
          <w:kern w:val="0"/>
          <w:sz w:val="22"/>
          <w:szCs w:val="22"/>
        </w:rPr>
      </w:pPr>
      <w:r>
        <w:rPr>
          <w:rFonts w:ascii="Arial" w:hAnsi="宋体" w:cs="Arial"/>
          <w:kern w:val="0"/>
          <w:sz w:val="22"/>
          <w:szCs w:val="22"/>
        </w:rPr>
        <w:t>招标文件售价：人民币</w:t>
      </w:r>
      <w:r>
        <w:rPr>
          <w:rFonts w:ascii="Arial" w:hAnsi="Arial" w:cs="Arial"/>
          <w:kern w:val="0"/>
          <w:sz w:val="22"/>
          <w:szCs w:val="22"/>
        </w:rPr>
        <w:t>500</w:t>
      </w:r>
      <w:r>
        <w:rPr>
          <w:rFonts w:ascii="Arial" w:hAnsi="宋体" w:cs="Arial"/>
          <w:kern w:val="0"/>
          <w:sz w:val="22"/>
          <w:szCs w:val="22"/>
        </w:rPr>
        <w:t>元整</w:t>
      </w:r>
      <w:r>
        <w:rPr>
          <w:rFonts w:ascii="Arial" w:hAnsi="Arial" w:cs="Arial"/>
          <w:kern w:val="0"/>
          <w:sz w:val="22"/>
          <w:szCs w:val="22"/>
        </w:rPr>
        <w:t>(</w:t>
      </w:r>
      <w:r>
        <w:rPr>
          <w:rFonts w:ascii="Arial" w:hAnsi="宋体" w:cs="Arial"/>
          <w:kern w:val="0"/>
          <w:sz w:val="22"/>
          <w:szCs w:val="22"/>
        </w:rPr>
        <w:t>售后不退</w:t>
      </w:r>
      <w:r>
        <w:rPr>
          <w:rFonts w:ascii="Arial" w:hAnsi="Arial" w:cs="Arial"/>
          <w:kern w:val="0"/>
          <w:sz w:val="22"/>
          <w:szCs w:val="22"/>
        </w:rPr>
        <w:t>)</w:t>
      </w:r>
    </w:p>
    <w:p>
      <w:pPr>
        <w:widowControl/>
        <w:spacing w:line="400" w:lineRule="exact"/>
        <w:ind w:firstLine="440" w:firstLineChars="200"/>
        <w:jc w:val="left"/>
        <w:rPr>
          <w:rFonts w:ascii="Arial" w:hAnsi="Arial" w:cs="Arial"/>
          <w:kern w:val="0"/>
          <w:sz w:val="22"/>
          <w:szCs w:val="22"/>
        </w:rPr>
      </w:pPr>
      <w:r>
        <w:rPr>
          <w:rFonts w:ascii="Arial" w:hAnsi="宋体" w:cs="Arial"/>
          <w:kern w:val="0"/>
          <w:sz w:val="22"/>
          <w:szCs w:val="22"/>
        </w:rPr>
        <w:t>报名及招标文件发售地点：</w:t>
      </w:r>
      <w:r>
        <w:rPr>
          <w:rFonts w:hint="eastAsia" w:ascii="Arial" w:hAnsi="宋体" w:cs="Arial"/>
          <w:kern w:val="0"/>
          <w:sz w:val="22"/>
          <w:szCs w:val="22"/>
        </w:rPr>
        <w:t>温州市鹿城区大南路世贸中心大厦3405室财务室</w:t>
      </w:r>
    </w:p>
    <w:p>
      <w:pPr>
        <w:widowControl/>
        <w:spacing w:before="60" w:after="60" w:line="400" w:lineRule="exact"/>
        <w:ind w:left="60" w:right="60"/>
        <w:jc w:val="left"/>
        <w:rPr>
          <w:rFonts w:ascii="Arial" w:hAnsi="Arial" w:cs="Arial"/>
          <w:bCs/>
          <w:color w:val="0000FF"/>
          <w:kern w:val="0"/>
          <w:sz w:val="22"/>
          <w:szCs w:val="22"/>
        </w:rPr>
      </w:pPr>
      <w:r>
        <w:rPr>
          <w:rFonts w:ascii="Arial" w:hAnsi="宋体" w:cs="Arial"/>
          <w:bCs/>
          <w:color w:val="0000FF"/>
          <w:kern w:val="0"/>
          <w:sz w:val="22"/>
          <w:szCs w:val="22"/>
        </w:rPr>
        <w:t>五、</w:t>
      </w:r>
      <w:r>
        <w:rPr>
          <w:rFonts w:ascii="Arial" w:hAnsi="宋体" w:cs="Arial"/>
          <w:color w:val="0000FF"/>
          <w:kern w:val="0"/>
          <w:sz w:val="22"/>
          <w:szCs w:val="22"/>
        </w:rPr>
        <w:t>递交投标文件截止时间</w:t>
      </w:r>
      <w:r>
        <w:rPr>
          <w:rFonts w:ascii="Arial" w:hAnsi="宋体" w:cs="Arial"/>
          <w:bCs/>
          <w:color w:val="0000FF"/>
          <w:kern w:val="0"/>
          <w:sz w:val="22"/>
          <w:szCs w:val="22"/>
        </w:rPr>
        <w:t>：</w:t>
      </w:r>
      <w:r>
        <w:rPr>
          <w:rFonts w:ascii="Arial" w:hAnsi="Arial" w:cs="Arial"/>
          <w:color w:val="0000FF"/>
          <w:kern w:val="0"/>
          <w:sz w:val="22"/>
          <w:szCs w:val="22"/>
        </w:rPr>
        <w:t>2019</w:t>
      </w:r>
      <w:r>
        <w:rPr>
          <w:rFonts w:ascii="Arial" w:hAnsi="宋体" w:cs="Arial"/>
          <w:color w:val="0000FF"/>
          <w:kern w:val="0"/>
          <w:sz w:val="22"/>
          <w:szCs w:val="22"/>
        </w:rPr>
        <w:t>年</w:t>
      </w:r>
      <w:r>
        <w:rPr>
          <w:rFonts w:hint="eastAsia" w:ascii="Arial" w:hAnsi="Arial" w:cs="Arial"/>
          <w:color w:val="0000FF"/>
          <w:kern w:val="0"/>
          <w:sz w:val="22"/>
          <w:szCs w:val="22"/>
          <w:lang w:val="en-US" w:eastAsia="zh-CN"/>
        </w:rPr>
        <w:t>11</w:t>
      </w:r>
      <w:r>
        <w:rPr>
          <w:rFonts w:ascii="Arial" w:hAnsi="宋体" w:cs="Arial"/>
          <w:color w:val="0000FF"/>
          <w:kern w:val="0"/>
          <w:sz w:val="22"/>
          <w:szCs w:val="22"/>
        </w:rPr>
        <w:t>月</w:t>
      </w:r>
      <w:r>
        <w:rPr>
          <w:rFonts w:hint="eastAsia" w:ascii="Arial" w:hAnsi="Arial" w:cs="Arial"/>
          <w:color w:val="0000FF"/>
          <w:kern w:val="0"/>
          <w:sz w:val="22"/>
          <w:szCs w:val="22"/>
          <w:lang w:val="en-US" w:eastAsia="zh-CN"/>
        </w:rPr>
        <w:t>12</w:t>
      </w:r>
      <w:r>
        <w:rPr>
          <w:rFonts w:ascii="Arial" w:hAnsi="宋体" w:cs="Arial"/>
          <w:color w:val="0000FF"/>
          <w:kern w:val="0"/>
          <w:sz w:val="22"/>
          <w:szCs w:val="22"/>
        </w:rPr>
        <w:t>日</w:t>
      </w:r>
      <w:r>
        <w:rPr>
          <w:rFonts w:hint="eastAsia" w:ascii="Arial" w:hAnsi="Arial" w:cs="Arial"/>
          <w:color w:val="0000FF"/>
          <w:kern w:val="0"/>
          <w:sz w:val="22"/>
          <w:szCs w:val="22"/>
        </w:rPr>
        <w:t>09</w:t>
      </w:r>
      <w:r>
        <w:rPr>
          <w:rFonts w:ascii="Arial" w:hAnsi="宋体" w:cs="Arial"/>
          <w:color w:val="0000FF"/>
          <w:kern w:val="0"/>
          <w:sz w:val="22"/>
          <w:szCs w:val="22"/>
        </w:rPr>
        <w:t>时</w:t>
      </w:r>
      <w:r>
        <w:rPr>
          <w:rFonts w:ascii="Arial" w:hAnsi="Arial" w:cs="Arial"/>
          <w:color w:val="0000FF"/>
          <w:kern w:val="0"/>
          <w:sz w:val="22"/>
          <w:szCs w:val="22"/>
        </w:rPr>
        <w:t>30</w:t>
      </w:r>
      <w:r>
        <w:rPr>
          <w:rFonts w:ascii="Arial" w:hAnsi="宋体" w:cs="Arial"/>
          <w:color w:val="0000FF"/>
          <w:kern w:val="0"/>
          <w:sz w:val="22"/>
          <w:szCs w:val="22"/>
        </w:rPr>
        <w:t>分整</w:t>
      </w:r>
      <w:r>
        <w:rPr>
          <w:rFonts w:ascii="Arial" w:hAnsi="宋体" w:cs="Arial"/>
          <w:bCs/>
          <w:color w:val="0000FF"/>
          <w:kern w:val="0"/>
          <w:sz w:val="22"/>
          <w:szCs w:val="22"/>
        </w:rPr>
        <w:t>。</w:t>
      </w:r>
    </w:p>
    <w:p>
      <w:pPr>
        <w:widowControl/>
        <w:spacing w:before="60" w:after="60" w:line="400" w:lineRule="exact"/>
        <w:ind w:left="60" w:right="60"/>
        <w:jc w:val="left"/>
        <w:rPr>
          <w:rFonts w:ascii="Arial" w:hAnsi="Arial" w:cs="Arial"/>
          <w:bCs/>
          <w:kern w:val="0"/>
          <w:sz w:val="22"/>
          <w:szCs w:val="22"/>
        </w:rPr>
      </w:pPr>
      <w:r>
        <w:rPr>
          <w:rFonts w:ascii="Arial" w:hAnsi="宋体" w:cs="Arial"/>
          <w:bCs/>
          <w:kern w:val="0"/>
          <w:sz w:val="22"/>
          <w:szCs w:val="22"/>
        </w:rPr>
        <w:t>六、投标文件提交地点：温州市行政审批与公共资源交易服务管理中心（温州市鹿城区会展路</w:t>
      </w:r>
      <w:r>
        <w:rPr>
          <w:rFonts w:ascii="Arial" w:hAnsi="Arial" w:cs="Arial"/>
          <w:bCs/>
          <w:kern w:val="0"/>
          <w:sz w:val="22"/>
          <w:szCs w:val="22"/>
        </w:rPr>
        <w:t>1268</w:t>
      </w:r>
      <w:r>
        <w:rPr>
          <w:rFonts w:ascii="Arial" w:hAnsi="宋体" w:cs="Arial"/>
          <w:bCs/>
          <w:kern w:val="0"/>
          <w:sz w:val="22"/>
          <w:szCs w:val="22"/>
        </w:rPr>
        <w:t>号温州市民中心</w:t>
      </w:r>
      <w:r>
        <w:rPr>
          <w:rFonts w:ascii="Arial" w:hAnsi="Arial" w:cs="Arial"/>
          <w:bCs/>
          <w:kern w:val="0"/>
          <w:sz w:val="22"/>
          <w:szCs w:val="22"/>
        </w:rPr>
        <w:t>A</w:t>
      </w:r>
      <w:r>
        <w:rPr>
          <w:rFonts w:ascii="Arial" w:hAnsi="宋体" w:cs="Arial"/>
          <w:bCs/>
          <w:kern w:val="0"/>
          <w:sz w:val="22"/>
          <w:szCs w:val="22"/>
        </w:rPr>
        <w:t>座</w:t>
      </w:r>
      <w:r>
        <w:rPr>
          <w:rFonts w:ascii="Arial" w:hAnsi="Arial" w:cs="Arial"/>
          <w:bCs/>
          <w:kern w:val="0"/>
          <w:sz w:val="22"/>
          <w:szCs w:val="22"/>
        </w:rPr>
        <w:t>3</w:t>
      </w:r>
      <w:r>
        <w:rPr>
          <w:rFonts w:ascii="Arial" w:hAnsi="宋体" w:cs="Arial"/>
          <w:bCs/>
          <w:kern w:val="0"/>
          <w:sz w:val="22"/>
          <w:szCs w:val="22"/>
        </w:rPr>
        <w:t>楼公共资源交易受理区）。</w:t>
      </w:r>
    </w:p>
    <w:p>
      <w:pPr>
        <w:widowControl/>
        <w:spacing w:before="60" w:after="60" w:line="400" w:lineRule="exact"/>
        <w:ind w:left="60" w:right="60"/>
        <w:jc w:val="left"/>
        <w:rPr>
          <w:rFonts w:ascii="Arial" w:hAnsi="Arial" w:cs="Arial"/>
          <w:bCs/>
          <w:color w:val="0000FF"/>
          <w:kern w:val="0"/>
          <w:sz w:val="22"/>
          <w:szCs w:val="22"/>
        </w:rPr>
      </w:pPr>
      <w:r>
        <w:rPr>
          <w:rFonts w:ascii="Arial" w:hAnsi="宋体" w:cs="Arial"/>
          <w:bCs/>
          <w:color w:val="0000FF"/>
          <w:kern w:val="0"/>
          <w:sz w:val="22"/>
          <w:szCs w:val="22"/>
        </w:rPr>
        <w:t>七、开标时间：</w:t>
      </w:r>
      <w:r>
        <w:rPr>
          <w:rFonts w:ascii="Arial" w:hAnsi="Arial" w:cs="Arial"/>
          <w:color w:val="0000FF"/>
          <w:kern w:val="0"/>
          <w:sz w:val="22"/>
          <w:szCs w:val="22"/>
        </w:rPr>
        <w:t>2019</w:t>
      </w:r>
      <w:r>
        <w:rPr>
          <w:rFonts w:ascii="Arial" w:hAnsi="宋体" w:cs="Arial"/>
          <w:color w:val="0000FF"/>
          <w:kern w:val="0"/>
          <w:sz w:val="22"/>
          <w:szCs w:val="22"/>
        </w:rPr>
        <w:t>年</w:t>
      </w:r>
      <w:r>
        <w:rPr>
          <w:rFonts w:hint="eastAsia" w:ascii="Arial" w:hAnsi="Arial" w:cs="Arial"/>
          <w:color w:val="0000FF"/>
          <w:kern w:val="0"/>
          <w:sz w:val="22"/>
          <w:szCs w:val="22"/>
          <w:lang w:val="en-US" w:eastAsia="zh-CN"/>
        </w:rPr>
        <w:t>11</w:t>
      </w:r>
      <w:r>
        <w:rPr>
          <w:rFonts w:ascii="Arial" w:hAnsi="宋体" w:cs="Arial"/>
          <w:color w:val="0000FF"/>
          <w:kern w:val="0"/>
          <w:sz w:val="22"/>
          <w:szCs w:val="22"/>
        </w:rPr>
        <w:t>月</w:t>
      </w:r>
      <w:r>
        <w:rPr>
          <w:rFonts w:hint="eastAsia" w:ascii="Arial" w:hAnsi="Arial" w:cs="Arial"/>
          <w:color w:val="0000FF"/>
          <w:kern w:val="0"/>
          <w:sz w:val="22"/>
          <w:szCs w:val="22"/>
          <w:lang w:val="en-US" w:eastAsia="zh-CN"/>
        </w:rPr>
        <w:t>12</w:t>
      </w:r>
      <w:r>
        <w:rPr>
          <w:rFonts w:ascii="Arial" w:hAnsi="宋体" w:cs="Arial"/>
          <w:color w:val="0000FF"/>
          <w:kern w:val="0"/>
          <w:sz w:val="22"/>
          <w:szCs w:val="22"/>
        </w:rPr>
        <w:t>日</w:t>
      </w:r>
      <w:r>
        <w:rPr>
          <w:rFonts w:hint="eastAsia" w:ascii="Arial" w:hAnsi="Arial" w:cs="Arial"/>
          <w:color w:val="0000FF"/>
          <w:kern w:val="0"/>
          <w:sz w:val="22"/>
          <w:szCs w:val="22"/>
        </w:rPr>
        <w:t>09</w:t>
      </w:r>
      <w:r>
        <w:rPr>
          <w:rFonts w:ascii="Arial" w:hAnsi="宋体" w:cs="Arial"/>
          <w:color w:val="0000FF"/>
          <w:kern w:val="0"/>
          <w:sz w:val="22"/>
          <w:szCs w:val="22"/>
        </w:rPr>
        <w:t>时</w:t>
      </w:r>
      <w:r>
        <w:rPr>
          <w:rFonts w:ascii="Arial" w:hAnsi="Arial" w:cs="Arial"/>
          <w:color w:val="0000FF"/>
          <w:kern w:val="0"/>
          <w:sz w:val="22"/>
          <w:szCs w:val="22"/>
        </w:rPr>
        <w:t>30</w:t>
      </w:r>
      <w:r>
        <w:rPr>
          <w:rFonts w:ascii="Arial" w:hAnsi="宋体" w:cs="Arial"/>
          <w:color w:val="0000FF"/>
          <w:kern w:val="0"/>
          <w:sz w:val="22"/>
          <w:szCs w:val="22"/>
        </w:rPr>
        <w:t>分整</w:t>
      </w:r>
      <w:r>
        <w:rPr>
          <w:rFonts w:ascii="Arial" w:hAnsi="宋体" w:cs="Arial"/>
          <w:bCs/>
          <w:color w:val="0000FF"/>
          <w:kern w:val="0"/>
          <w:sz w:val="22"/>
          <w:szCs w:val="22"/>
        </w:rPr>
        <w:t>。</w:t>
      </w:r>
    </w:p>
    <w:p>
      <w:pPr>
        <w:widowControl/>
        <w:spacing w:before="60" w:after="60" w:line="400" w:lineRule="exact"/>
        <w:ind w:left="600" w:leftChars="29" w:right="60" w:hanging="539" w:hangingChars="245"/>
        <w:jc w:val="left"/>
        <w:rPr>
          <w:rFonts w:ascii="Arial" w:hAnsi="Arial" w:cs="Arial"/>
          <w:bCs/>
          <w:kern w:val="0"/>
          <w:sz w:val="22"/>
          <w:szCs w:val="22"/>
        </w:rPr>
      </w:pPr>
      <w:r>
        <w:rPr>
          <w:rFonts w:ascii="Arial" w:hAnsi="宋体" w:cs="Arial"/>
          <w:bCs/>
          <w:kern w:val="0"/>
          <w:sz w:val="22"/>
          <w:szCs w:val="22"/>
        </w:rPr>
        <w:t>八、开标地点：温州市行政审批与公共资源交易服务管理中心。</w:t>
      </w:r>
    </w:p>
    <w:p>
      <w:pPr>
        <w:widowControl/>
        <w:spacing w:before="60" w:after="60" w:line="400" w:lineRule="exact"/>
        <w:ind w:left="60" w:right="60"/>
        <w:jc w:val="left"/>
        <w:rPr>
          <w:rFonts w:ascii="Arial" w:hAnsi="Arial" w:cs="Arial"/>
          <w:b/>
          <w:bCs/>
          <w:kern w:val="0"/>
          <w:sz w:val="22"/>
          <w:szCs w:val="22"/>
          <w:u w:val="single"/>
        </w:rPr>
      </w:pPr>
      <w:r>
        <w:rPr>
          <w:rFonts w:ascii="Arial" w:hAnsi="宋体" w:cs="Arial"/>
          <w:bCs/>
          <w:kern w:val="0"/>
          <w:sz w:val="22"/>
          <w:szCs w:val="22"/>
        </w:rPr>
        <w:t>九、投标保证金及交付方式：</w:t>
      </w:r>
      <w:r>
        <w:rPr>
          <w:rFonts w:ascii="Arial" w:hAnsi="Arial" w:cs="Arial"/>
          <w:b/>
          <w:kern w:val="0"/>
          <w:sz w:val="22"/>
          <w:szCs w:val="22"/>
        </w:rPr>
        <w:t>▲</w:t>
      </w:r>
      <w:r>
        <w:rPr>
          <w:rFonts w:ascii="Arial" w:hAnsi="宋体" w:cs="Arial"/>
          <w:b/>
          <w:bCs/>
          <w:kern w:val="0"/>
          <w:sz w:val="22"/>
          <w:szCs w:val="22"/>
          <w:u w:val="single"/>
        </w:rPr>
        <w:t>人民币</w:t>
      </w:r>
      <w:r>
        <w:rPr>
          <w:rFonts w:hint="eastAsia" w:ascii="Arial" w:hAnsi="宋体" w:cs="Arial"/>
          <w:b/>
          <w:bCs/>
          <w:kern w:val="0"/>
          <w:sz w:val="22"/>
          <w:szCs w:val="22"/>
          <w:u w:val="single"/>
          <w:lang w:eastAsia="zh-CN"/>
        </w:rPr>
        <w:t>壹万</w:t>
      </w:r>
      <w:r>
        <w:rPr>
          <w:rFonts w:ascii="Arial" w:hAnsi="宋体" w:cs="Arial"/>
          <w:b/>
          <w:bCs/>
          <w:kern w:val="0"/>
          <w:sz w:val="22"/>
          <w:szCs w:val="22"/>
          <w:u w:val="single"/>
        </w:rPr>
        <w:t>元整。</w:t>
      </w:r>
    </w:p>
    <w:p>
      <w:pPr>
        <w:widowControl/>
        <w:ind w:left="61" w:leftChars="29" w:right="60" w:firstLine="440" w:firstLineChars="200"/>
        <w:jc w:val="left"/>
        <w:rPr>
          <w:rFonts w:ascii="Arial" w:hAnsi="Arial" w:cs="Arial"/>
          <w:color w:val="auto"/>
          <w:kern w:val="0"/>
          <w:sz w:val="22"/>
          <w:szCs w:val="22"/>
        </w:rPr>
      </w:pPr>
      <w:r>
        <w:rPr>
          <w:rFonts w:ascii="Arial" w:hAnsi="宋体" w:cs="Arial"/>
          <w:color w:val="auto"/>
          <w:kern w:val="0"/>
          <w:sz w:val="22"/>
          <w:szCs w:val="22"/>
        </w:rPr>
        <w:t>投标保证金缴纳截止时间：</w:t>
      </w:r>
      <w:r>
        <w:rPr>
          <w:rFonts w:ascii="Arial" w:hAnsi="Arial" w:cs="Arial"/>
          <w:b/>
          <w:bCs/>
          <w:color w:val="0000FF"/>
          <w:kern w:val="0"/>
          <w:sz w:val="22"/>
          <w:szCs w:val="22"/>
          <w:u w:val="none"/>
        </w:rPr>
        <w:t>2019</w:t>
      </w:r>
      <w:r>
        <w:rPr>
          <w:rFonts w:ascii="Arial" w:hAnsi="宋体" w:cs="Arial"/>
          <w:b/>
          <w:bCs/>
          <w:color w:val="0000FF"/>
          <w:kern w:val="0"/>
          <w:sz w:val="22"/>
          <w:szCs w:val="22"/>
          <w:u w:val="none"/>
        </w:rPr>
        <w:t>年</w:t>
      </w:r>
      <w:r>
        <w:rPr>
          <w:rFonts w:hint="eastAsia" w:ascii="Arial" w:hAnsi="Arial" w:cs="Arial"/>
          <w:b/>
          <w:bCs/>
          <w:color w:val="0000FF"/>
          <w:kern w:val="0"/>
          <w:sz w:val="22"/>
          <w:szCs w:val="22"/>
          <w:u w:val="none"/>
          <w:lang w:val="en-US" w:eastAsia="zh-CN"/>
        </w:rPr>
        <w:t>11</w:t>
      </w:r>
      <w:r>
        <w:rPr>
          <w:rFonts w:ascii="Arial" w:hAnsi="宋体" w:cs="Arial"/>
          <w:b/>
          <w:bCs/>
          <w:color w:val="0000FF"/>
          <w:kern w:val="0"/>
          <w:sz w:val="22"/>
          <w:szCs w:val="22"/>
          <w:u w:val="none"/>
        </w:rPr>
        <w:t>月</w:t>
      </w:r>
      <w:r>
        <w:rPr>
          <w:rFonts w:hint="eastAsia" w:ascii="Arial" w:hAnsi="Arial" w:cs="Arial"/>
          <w:b/>
          <w:bCs/>
          <w:color w:val="0000FF"/>
          <w:kern w:val="0"/>
          <w:sz w:val="22"/>
          <w:szCs w:val="22"/>
          <w:u w:val="none"/>
          <w:lang w:val="en-US" w:eastAsia="zh-CN"/>
        </w:rPr>
        <w:t>11</w:t>
      </w:r>
      <w:r>
        <w:rPr>
          <w:rFonts w:ascii="Arial" w:hAnsi="宋体" w:cs="Arial"/>
          <w:b/>
          <w:bCs/>
          <w:color w:val="0000FF"/>
          <w:kern w:val="0"/>
          <w:sz w:val="22"/>
          <w:szCs w:val="22"/>
          <w:u w:val="none"/>
        </w:rPr>
        <w:t>日</w:t>
      </w:r>
      <w:r>
        <w:rPr>
          <w:rFonts w:ascii="Arial" w:hAnsi="Arial" w:cs="Arial"/>
          <w:b/>
          <w:bCs/>
          <w:color w:val="0000FF"/>
          <w:kern w:val="0"/>
          <w:sz w:val="22"/>
          <w:szCs w:val="22"/>
          <w:u w:val="none"/>
        </w:rPr>
        <w:t>17</w:t>
      </w:r>
      <w:r>
        <w:rPr>
          <w:rFonts w:ascii="Arial" w:hAnsi="宋体" w:cs="Arial"/>
          <w:b/>
          <w:bCs/>
          <w:color w:val="0000FF"/>
          <w:kern w:val="0"/>
          <w:sz w:val="22"/>
          <w:szCs w:val="22"/>
          <w:u w:val="none"/>
        </w:rPr>
        <w:t>时</w:t>
      </w:r>
      <w:r>
        <w:rPr>
          <w:rFonts w:ascii="Arial" w:hAnsi="Arial" w:cs="Arial"/>
          <w:b/>
          <w:bCs/>
          <w:color w:val="0000FF"/>
          <w:kern w:val="0"/>
          <w:sz w:val="22"/>
          <w:szCs w:val="22"/>
          <w:u w:val="none"/>
        </w:rPr>
        <w:t>00</w:t>
      </w:r>
      <w:r>
        <w:rPr>
          <w:rFonts w:ascii="Arial" w:hAnsi="宋体" w:cs="Arial"/>
          <w:b/>
          <w:bCs/>
          <w:color w:val="0000FF"/>
          <w:kern w:val="0"/>
          <w:sz w:val="22"/>
          <w:szCs w:val="22"/>
          <w:u w:val="none"/>
        </w:rPr>
        <w:t>分</w:t>
      </w:r>
      <w:r>
        <w:rPr>
          <w:rFonts w:ascii="Arial" w:hAnsi="宋体" w:cs="Arial"/>
          <w:color w:val="auto"/>
          <w:kern w:val="0"/>
          <w:sz w:val="22"/>
          <w:szCs w:val="22"/>
        </w:rPr>
        <w:t>。</w:t>
      </w:r>
    </w:p>
    <w:p>
      <w:pPr>
        <w:widowControl/>
        <w:ind w:left="61" w:leftChars="29" w:right="60" w:firstLine="440" w:firstLineChars="200"/>
        <w:jc w:val="left"/>
        <w:rPr>
          <w:rFonts w:ascii="Arial" w:hAnsi="Arial" w:cs="Arial"/>
          <w:color w:val="auto"/>
          <w:kern w:val="0"/>
          <w:sz w:val="22"/>
          <w:szCs w:val="22"/>
        </w:rPr>
      </w:pPr>
      <w:r>
        <w:rPr>
          <w:rFonts w:ascii="Arial" w:hAnsi="宋体" w:cs="Arial"/>
          <w:color w:val="auto"/>
          <w:kern w:val="0"/>
          <w:sz w:val="22"/>
          <w:szCs w:val="22"/>
        </w:rPr>
        <w:t>户名：温州市行政审批与公共资源交易服务管理中心</w:t>
      </w:r>
    </w:p>
    <w:p>
      <w:pPr>
        <w:widowControl/>
        <w:ind w:left="61" w:leftChars="29" w:right="60" w:firstLine="440" w:firstLineChars="200"/>
        <w:jc w:val="left"/>
        <w:rPr>
          <w:rFonts w:ascii="Arial" w:hAnsi="Arial" w:cs="Arial"/>
          <w:color w:val="auto"/>
          <w:kern w:val="0"/>
          <w:sz w:val="22"/>
          <w:szCs w:val="22"/>
        </w:rPr>
      </w:pPr>
      <w:r>
        <w:rPr>
          <w:rFonts w:ascii="Arial" w:hAnsi="宋体" w:cs="Arial"/>
          <w:color w:val="auto"/>
          <w:kern w:val="0"/>
          <w:sz w:val="22"/>
          <w:szCs w:val="22"/>
        </w:rPr>
        <w:t>账号：</w:t>
      </w:r>
      <w:r>
        <w:rPr>
          <w:rFonts w:ascii="Arial" w:hAnsi="Arial" w:cs="Arial"/>
          <w:color w:val="auto"/>
          <w:kern w:val="0"/>
          <w:sz w:val="22"/>
          <w:szCs w:val="22"/>
        </w:rPr>
        <w:t>715000120196666999</w:t>
      </w:r>
    </w:p>
    <w:p>
      <w:pPr>
        <w:widowControl/>
        <w:ind w:left="61" w:leftChars="29" w:right="60" w:firstLine="440" w:firstLineChars="200"/>
        <w:jc w:val="left"/>
        <w:rPr>
          <w:rFonts w:ascii="Arial" w:hAnsi="Arial" w:cs="Arial"/>
          <w:color w:val="auto"/>
          <w:kern w:val="0"/>
          <w:sz w:val="22"/>
          <w:szCs w:val="22"/>
        </w:rPr>
      </w:pPr>
      <w:r>
        <w:rPr>
          <w:rFonts w:ascii="Arial" w:hAnsi="宋体" w:cs="Arial"/>
          <w:color w:val="auto"/>
          <w:kern w:val="0"/>
          <w:sz w:val="22"/>
          <w:szCs w:val="22"/>
        </w:rPr>
        <w:t>开户行：温州银行鹿城支行</w:t>
      </w:r>
    </w:p>
    <w:p>
      <w:pPr>
        <w:widowControl/>
        <w:spacing w:before="60" w:after="60" w:line="400" w:lineRule="exact"/>
        <w:ind w:left="61" w:leftChars="29" w:right="60" w:firstLine="440" w:firstLineChars="200"/>
        <w:jc w:val="left"/>
        <w:rPr>
          <w:rFonts w:ascii="Arial" w:hAnsi="Arial" w:cs="Arial"/>
          <w:bCs/>
          <w:color w:val="auto"/>
          <w:kern w:val="0"/>
          <w:sz w:val="22"/>
          <w:szCs w:val="22"/>
        </w:rPr>
      </w:pPr>
      <w:r>
        <w:rPr>
          <w:rFonts w:ascii="Arial" w:hAnsi="宋体" w:cs="Arial"/>
          <w:color w:val="auto"/>
          <w:sz w:val="22"/>
          <w:szCs w:val="22"/>
        </w:rPr>
        <w:t>投标人携带投标保证金缴纳凭证（银行转账支票进账单、电汇单等，缴纳保证金用途必须注明项目名称）复印件两份和</w:t>
      </w:r>
      <w:r>
        <w:rPr>
          <w:rFonts w:ascii="Arial" w:hAnsi="Arial" w:cs="Arial"/>
          <w:color w:val="auto"/>
          <w:sz w:val="22"/>
          <w:szCs w:val="22"/>
        </w:rPr>
        <w:t>“</w:t>
      </w:r>
      <w:r>
        <w:rPr>
          <w:rFonts w:ascii="Arial" w:hAnsi="宋体" w:cs="Arial"/>
          <w:color w:val="auto"/>
          <w:sz w:val="22"/>
          <w:szCs w:val="22"/>
        </w:rPr>
        <w:t>政采云</w:t>
      </w:r>
      <w:r>
        <w:rPr>
          <w:rFonts w:ascii="Arial" w:hAnsi="Arial" w:cs="Arial"/>
          <w:color w:val="auto"/>
          <w:sz w:val="22"/>
          <w:szCs w:val="22"/>
        </w:rPr>
        <w:t>”</w:t>
      </w:r>
      <w:r>
        <w:rPr>
          <w:rFonts w:ascii="Arial" w:hAnsi="宋体" w:cs="Arial"/>
          <w:color w:val="auto"/>
          <w:sz w:val="22"/>
          <w:szCs w:val="22"/>
        </w:rPr>
        <w:t>平台报名成功后的界面截图（内容含供应商名称、项目名称、投标截止时间等）并加盖投标人有效公章，于投标文件递交截止时间前到中心资金结算窗口开具保证金收据。</w:t>
      </w:r>
    </w:p>
    <w:p>
      <w:pPr>
        <w:widowControl/>
        <w:spacing w:before="60" w:after="60" w:line="400" w:lineRule="exact"/>
        <w:ind w:left="60" w:right="60"/>
        <w:jc w:val="left"/>
        <w:rPr>
          <w:rFonts w:ascii="Arial" w:hAnsi="Arial" w:cs="Arial"/>
          <w:bCs/>
          <w:kern w:val="0"/>
          <w:sz w:val="22"/>
          <w:szCs w:val="22"/>
        </w:rPr>
      </w:pPr>
      <w:r>
        <w:rPr>
          <w:rFonts w:ascii="Arial" w:hAnsi="宋体" w:cs="Arial"/>
          <w:bCs/>
          <w:kern w:val="0"/>
          <w:sz w:val="22"/>
          <w:szCs w:val="22"/>
        </w:rPr>
        <w:t>十、其他事项：</w:t>
      </w:r>
    </w:p>
    <w:p>
      <w:pPr>
        <w:widowControl/>
        <w:spacing w:before="60" w:after="60" w:line="400" w:lineRule="exact"/>
        <w:ind w:left="62" w:right="62" w:firstLine="440" w:firstLineChars="200"/>
        <w:jc w:val="left"/>
        <w:rPr>
          <w:rFonts w:ascii="Arial" w:hAnsi="Arial" w:cs="Arial"/>
          <w:bCs/>
          <w:kern w:val="0"/>
          <w:sz w:val="22"/>
          <w:szCs w:val="22"/>
        </w:rPr>
      </w:pPr>
      <w:r>
        <w:rPr>
          <w:rFonts w:ascii="Arial" w:hAnsi="Arial" w:cs="Arial"/>
          <w:bCs/>
          <w:kern w:val="0"/>
          <w:sz w:val="22"/>
          <w:szCs w:val="22"/>
        </w:rPr>
        <w:t>1</w:t>
      </w:r>
      <w:r>
        <w:rPr>
          <w:rFonts w:ascii="Arial" w:hAnsi="宋体" w:cs="Arial"/>
          <w:bCs/>
          <w:kern w:val="0"/>
          <w:sz w:val="22"/>
          <w:szCs w:val="22"/>
        </w:rPr>
        <w:t>、购买招标文件时须提交的文件资料：</w:t>
      </w:r>
    </w:p>
    <w:p>
      <w:pPr>
        <w:widowControl/>
        <w:spacing w:line="360" w:lineRule="auto"/>
        <w:ind w:firstLine="440" w:firstLineChars="200"/>
        <w:jc w:val="left"/>
        <w:rPr>
          <w:rFonts w:ascii="Arial" w:hAnsi="Arial" w:cs="Arial"/>
          <w:kern w:val="0"/>
          <w:sz w:val="22"/>
          <w:szCs w:val="22"/>
        </w:rPr>
      </w:pPr>
      <w:r>
        <w:rPr>
          <w:rFonts w:ascii="Arial" w:hAnsi="Arial" w:cs="Arial"/>
          <w:kern w:val="0"/>
          <w:sz w:val="22"/>
          <w:szCs w:val="22"/>
        </w:rPr>
        <w:t>1.1</w:t>
      </w:r>
      <w:r>
        <w:rPr>
          <w:rFonts w:ascii="Arial" w:hAnsi="宋体" w:cs="Arial"/>
          <w:kern w:val="0"/>
          <w:sz w:val="22"/>
          <w:szCs w:val="22"/>
        </w:rPr>
        <w:t>、法定代表人授权书复印件；</w:t>
      </w:r>
    </w:p>
    <w:p>
      <w:pPr>
        <w:widowControl/>
        <w:spacing w:line="360" w:lineRule="auto"/>
        <w:ind w:firstLine="440" w:firstLineChars="200"/>
        <w:jc w:val="left"/>
        <w:rPr>
          <w:rFonts w:ascii="Arial" w:hAnsi="Arial" w:cs="Arial"/>
          <w:kern w:val="0"/>
          <w:sz w:val="22"/>
          <w:szCs w:val="22"/>
        </w:rPr>
      </w:pPr>
      <w:r>
        <w:rPr>
          <w:rFonts w:ascii="Arial" w:hAnsi="Arial" w:cs="Arial"/>
          <w:kern w:val="0"/>
          <w:sz w:val="22"/>
          <w:szCs w:val="22"/>
        </w:rPr>
        <w:t>1.2</w:t>
      </w:r>
      <w:r>
        <w:rPr>
          <w:rFonts w:ascii="Arial" w:hAnsi="宋体" w:cs="Arial"/>
          <w:kern w:val="0"/>
          <w:sz w:val="22"/>
          <w:szCs w:val="22"/>
        </w:rPr>
        <w:t>、投标人代表有效身份证件复印件；</w:t>
      </w:r>
    </w:p>
    <w:p>
      <w:pPr>
        <w:widowControl/>
        <w:spacing w:line="360" w:lineRule="auto"/>
        <w:ind w:firstLine="440" w:firstLineChars="200"/>
        <w:jc w:val="left"/>
        <w:rPr>
          <w:rFonts w:ascii="Arial" w:hAnsi="Arial" w:cs="Arial"/>
          <w:kern w:val="0"/>
          <w:sz w:val="22"/>
          <w:szCs w:val="22"/>
        </w:rPr>
      </w:pPr>
      <w:r>
        <w:rPr>
          <w:rFonts w:ascii="Arial" w:hAnsi="Arial" w:cs="Arial"/>
          <w:kern w:val="0"/>
          <w:sz w:val="22"/>
          <w:szCs w:val="22"/>
        </w:rPr>
        <w:t>1.3</w:t>
      </w:r>
      <w:r>
        <w:rPr>
          <w:rFonts w:ascii="Arial" w:hAnsi="宋体" w:cs="Arial"/>
          <w:kern w:val="0"/>
          <w:sz w:val="22"/>
          <w:szCs w:val="22"/>
        </w:rPr>
        <w:t>、企业法人营业执照副本复印件；</w:t>
      </w:r>
    </w:p>
    <w:p>
      <w:pPr>
        <w:widowControl/>
        <w:spacing w:line="360" w:lineRule="auto"/>
        <w:ind w:firstLine="440" w:firstLineChars="200"/>
        <w:jc w:val="left"/>
        <w:rPr>
          <w:rFonts w:ascii="Arial" w:hAnsi="Arial" w:cs="Arial"/>
          <w:kern w:val="0"/>
          <w:sz w:val="22"/>
          <w:szCs w:val="22"/>
        </w:rPr>
      </w:pPr>
      <w:r>
        <w:rPr>
          <w:rFonts w:ascii="Arial" w:hAnsi="Arial" w:cs="Arial"/>
          <w:kern w:val="0"/>
          <w:sz w:val="22"/>
          <w:szCs w:val="22"/>
        </w:rPr>
        <w:t>1.4</w:t>
      </w:r>
      <w:r>
        <w:rPr>
          <w:rFonts w:ascii="Arial" w:hAnsi="宋体" w:cs="Arial"/>
          <w:kern w:val="0"/>
          <w:sz w:val="22"/>
          <w:szCs w:val="22"/>
        </w:rPr>
        <w:t>、投标人认为需要提供的其他资料。</w:t>
      </w:r>
    </w:p>
    <w:p>
      <w:pPr>
        <w:widowControl/>
        <w:spacing w:line="360" w:lineRule="auto"/>
        <w:ind w:firstLine="440" w:firstLineChars="200"/>
        <w:jc w:val="left"/>
        <w:rPr>
          <w:rFonts w:ascii="Arial" w:hAnsi="Arial" w:cs="Arial"/>
          <w:kern w:val="0"/>
          <w:sz w:val="22"/>
          <w:szCs w:val="22"/>
        </w:rPr>
      </w:pPr>
      <w:r>
        <w:rPr>
          <w:rFonts w:ascii="Arial" w:hAnsi="宋体" w:cs="Arial"/>
          <w:kern w:val="0"/>
          <w:sz w:val="22"/>
          <w:szCs w:val="22"/>
        </w:rPr>
        <w:t>以上资料若为复印件，须加盖投标人公章。</w:t>
      </w:r>
    </w:p>
    <w:p>
      <w:pPr>
        <w:widowControl/>
        <w:spacing w:line="360" w:lineRule="auto"/>
        <w:ind w:firstLine="440" w:firstLineChars="200"/>
        <w:jc w:val="left"/>
        <w:rPr>
          <w:rFonts w:ascii="Arial" w:hAnsi="Arial" w:cs="Arial"/>
          <w:kern w:val="0"/>
          <w:sz w:val="22"/>
          <w:szCs w:val="22"/>
        </w:rPr>
      </w:pPr>
      <w:r>
        <w:rPr>
          <w:rFonts w:ascii="Arial" w:hAnsi="Arial" w:eastAsia="新宋体" w:cs="Arial"/>
          <w:bCs/>
          <w:kern w:val="0"/>
          <w:sz w:val="22"/>
          <w:szCs w:val="22"/>
        </w:rPr>
        <w:t>2、采购公告期限：5个工作日，从公告在浙江政府采购网上发布的次日起算；</w:t>
      </w:r>
    </w:p>
    <w:p>
      <w:pPr>
        <w:widowControl/>
        <w:spacing w:line="360" w:lineRule="auto"/>
        <w:ind w:firstLine="440" w:firstLineChars="200"/>
        <w:jc w:val="left"/>
        <w:rPr>
          <w:rFonts w:ascii="Arial" w:hAnsi="Arial" w:cs="Arial"/>
          <w:color w:val="auto"/>
          <w:kern w:val="0"/>
          <w:sz w:val="22"/>
          <w:szCs w:val="22"/>
        </w:rPr>
      </w:pPr>
      <w:r>
        <w:rPr>
          <w:rFonts w:hint="eastAsia" w:ascii="Arial" w:hAnsi="Arial" w:cs="Arial"/>
          <w:kern w:val="0"/>
          <w:sz w:val="22"/>
          <w:szCs w:val="22"/>
        </w:rPr>
        <w:t>3</w:t>
      </w:r>
      <w:r>
        <w:rPr>
          <w:rFonts w:ascii="Arial" w:hAnsi="宋体" w:cs="Arial"/>
          <w:kern w:val="0"/>
          <w:sz w:val="22"/>
          <w:szCs w:val="22"/>
        </w:rPr>
        <w:t>、投标人认为招标文件使自己的权益受到损害的，可以自收到招标文件之日（发售截止日之后收到招标文件的，以发售截止日为准）起</w:t>
      </w:r>
      <w:r>
        <w:rPr>
          <w:rFonts w:ascii="Arial" w:hAnsi="Arial" w:cs="Arial"/>
          <w:kern w:val="0"/>
          <w:sz w:val="22"/>
          <w:szCs w:val="22"/>
        </w:rPr>
        <w:t>7</w:t>
      </w:r>
      <w:r>
        <w:rPr>
          <w:rFonts w:ascii="Arial" w:hAnsi="宋体" w:cs="Arial"/>
          <w:kern w:val="0"/>
          <w:sz w:val="22"/>
          <w:szCs w:val="22"/>
        </w:rPr>
        <w:t>个工作日内，以书面形式向招标人和招标代理机构提出质疑。质疑投标人对招标人、招标代理机构的答复不满意或者招标人、招标代理机构未在规定的时间内作出答</w:t>
      </w:r>
      <w:r>
        <w:rPr>
          <w:rFonts w:ascii="Arial" w:hAnsi="宋体" w:cs="Arial"/>
          <w:color w:val="auto"/>
          <w:kern w:val="0"/>
          <w:sz w:val="22"/>
          <w:szCs w:val="22"/>
        </w:rPr>
        <w:t>复的，可以在答复期满后十五个工作日内向采购监督管理部门投诉。</w:t>
      </w:r>
    </w:p>
    <w:p>
      <w:pPr>
        <w:widowControl/>
        <w:spacing w:line="360" w:lineRule="auto"/>
        <w:ind w:firstLine="440" w:firstLineChars="200"/>
        <w:jc w:val="left"/>
        <w:rPr>
          <w:rFonts w:ascii="Arial" w:hAnsi="Arial" w:cs="Arial"/>
          <w:color w:val="auto"/>
          <w:kern w:val="0"/>
          <w:sz w:val="22"/>
          <w:szCs w:val="22"/>
        </w:rPr>
      </w:pPr>
      <w:bookmarkStart w:id="10" w:name="B38_其他事项"/>
      <w:r>
        <w:rPr>
          <w:rFonts w:hint="eastAsia" w:ascii="Arial" w:hAnsi="Arial" w:cs="Arial"/>
          <w:color w:val="auto"/>
          <w:kern w:val="0"/>
          <w:sz w:val="22"/>
          <w:szCs w:val="22"/>
        </w:rPr>
        <w:t>4</w:t>
      </w:r>
      <w:r>
        <w:rPr>
          <w:rFonts w:ascii="Arial" w:hAnsi="宋体" w:cs="Arial"/>
          <w:color w:val="auto"/>
          <w:kern w:val="0"/>
          <w:sz w:val="22"/>
          <w:szCs w:val="22"/>
        </w:rPr>
        <w:t>、招标文件发售截止时间之后潜在投标人仍然可以购买招标文件，但该投标人如对招标文件有疑问应按招标文件规定的询疑截止时间前提出，逾期提出的，招标组织机构可以不予受理、答复</w:t>
      </w:r>
      <w:bookmarkEnd w:id="10"/>
      <w:r>
        <w:rPr>
          <w:rFonts w:ascii="Arial" w:hAnsi="宋体" w:cs="Arial"/>
          <w:color w:val="auto"/>
          <w:kern w:val="0"/>
          <w:sz w:val="22"/>
          <w:szCs w:val="22"/>
        </w:rPr>
        <w:t>。</w:t>
      </w:r>
    </w:p>
    <w:p>
      <w:pPr>
        <w:widowControl/>
        <w:spacing w:line="360" w:lineRule="auto"/>
        <w:ind w:firstLine="440" w:firstLineChars="200"/>
        <w:jc w:val="left"/>
        <w:rPr>
          <w:rFonts w:ascii="Arial" w:hAnsi="宋体" w:cs="Arial"/>
          <w:kern w:val="0"/>
          <w:sz w:val="22"/>
          <w:szCs w:val="22"/>
        </w:rPr>
      </w:pPr>
      <w:r>
        <w:rPr>
          <w:rFonts w:hint="eastAsia" w:ascii="Arial" w:hAnsi="Arial" w:cs="Arial"/>
          <w:color w:val="auto"/>
          <w:kern w:val="0"/>
          <w:sz w:val="22"/>
          <w:szCs w:val="22"/>
        </w:rPr>
        <w:t>5</w:t>
      </w:r>
      <w:r>
        <w:rPr>
          <w:rFonts w:ascii="Arial" w:hAnsi="宋体" w:cs="Arial"/>
          <w:color w:val="auto"/>
          <w:kern w:val="0"/>
          <w:sz w:val="22"/>
          <w:szCs w:val="22"/>
        </w:rPr>
        <w:t>、书面质疑受理地点：</w:t>
      </w:r>
      <w:r>
        <w:rPr>
          <w:rFonts w:hint="eastAsia" w:ascii="Arial" w:hAnsi="宋体" w:cs="Arial"/>
          <w:color w:val="auto"/>
          <w:kern w:val="0"/>
          <w:sz w:val="22"/>
          <w:szCs w:val="22"/>
        </w:rPr>
        <w:t>温州市鹿城区大南路世贸中心大厦3405室书面质疑受理人：包先生，联系电话：</w:t>
      </w:r>
      <w:r>
        <w:rPr>
          <w:rFonts w:hint="eastAsia" w:ascii="Arial" w:hAnsi="宋体" w:cs="Arial"/>
          <w:kern w:val="0"/>
          <w:sz w:val="22"/>
          <w:szCs w:val="22"/>
        </w:rPr>
        <w:t>18072192599。</w:t>
      </w:r>
    </w:p>
    <w:p>
      <w:pPr>
        <w:widowControl/>
        <w:spacing w:line="360" w:lineRule="auto"/>
        <w:ind w:firstLine="440" w:firstLineChars="200"/>
        <w:jc w:val="left"/>
        <w:rPr>
          <w:rFonts w:ascii="Arial" w:hAnsi="Arial" w:cs="Arial"/>
          <w:color w:val="auto"/>
          <w:kern w:val="0"/>
          <w:sz w:val="22"/>
          <w:szCs w:val="22"/>
        </w:rPr>
      </w:pPr>
      <w:r>
        <w:rPr>
          <w:rFonts w:hint="eastAsia" w:ascii="Arial" w:hAnsi="宋体" w:cs="Arial"/>
          <w:kern w:val="0"/>
          <w:sz w:val="22"/>
          <w:szCs w:val="22"/>
        </w:rPr>
        <w:t>6</w:t>
      </w:r>
      <w:r>
        <w:rPr>
          <w:rFonts w:ascii="Arial" w:hAnsi="宋体" w:cs="Arial"/>
          <w:kern w:val="0"/>
          <w:sz w:val="22"/>
          <w:szCs w:val="22"/>
        </w:rPr>
        <w:t>、采购监督部门：温州市交通投资集团有限公司监察监事审计室</w:t>
      </w:r>
      <w:r>
        <w:rPr>
          <w:rFonts w:hint="eastAsia" w:ascii="Arial" w:hAnsi="宋体" w:cs="Arial"/>
          <w:kern w:val="0"/>
          <w:sz w:val="22"/>
          <w:szCs w:val="22"/>
          <w:lang w:eastAsia="zh-CN"/>
        </w:rPr>
        <w:t>，</w:t>
      </w:r>
      <w:r>
        <w:rPr>
          <w:rFonts w:hint="eastAsia" w:ascii="Arial" w:hAnsi="宋体" w:cs="Arial"/>
          <w:kern w:val="0"/>
          <w:sz w:val="22"/>
          <w:szCs w:val="22"/>
        </w:rPr>
        <w:t>联系电话</w:t>
      </w:r>
      <w:r>
        <w:rPr>
          <w:rFonts w:hint="eastAsia" w:ascii="Arial" w:hAnsi="宋体" w:cs="Arial"/>
          <w:color w:val="auto"/>
          <w:kern w:val="0"/>
          <w:sz w:val="22"/>
          <w:szCs w:val="22"/>
        </w:rPr>
        <w:t>：0577-85559092</w:t>
      </w:r>
    </w:p>
    <w:p>
      <w:pPr>
        <w:widowControl/>
        <w:spacing w:line="360" w:lineRule="auto"/>
        <w:ind w:firstLine="440" w:firstLineChars="200"/>
        <w:jc w:val="left"/>
        <w:rPr>
          <w:rFonts w:ascii="Arial" w:hAnsi="Arial" w:cs="Arial"/>
          <w:bCs/>
          <w:color w:val="auto"/>
          <w:kern w:val="0"/>
          <w:sz w:val="22"/>
          <w:szCs w:val="22"/>
        </w:rPr>
      </w:pPr>
      <w:r>
        <w:rPr>
          <w:rFonts w:hint="eastAsia" w:ascii="Arial" w:hAnsi="Arial" w:cs="Arial"/>
          <w:color w:val="auto"/>
          <w:kern w:val="0"/>
          <w:sz w:val="22"/>
          <w:szCs w:val="22"/>
        </w:rPr>
        <w:t>7</w:t>
      </w:r>
      <w:r>
        <w:rPr>
          <w:rFonts w:ascii="Arial" w:hAnsi="宋体" w:cs="Arial"/>
          <w:color w:val="auto"/>
          <w:kern w:val="0"/>
          <w:sz w:val="22"/>
          <w:szCs w:val="22"/>
        </w:rPr>
        <w:t>、招标人：</w:t>
      </w:r>
      <w:r>
        <w:rPr>
          <w:rFonts w:hint="eastAsia" w:ascii="Arial" w:hAnsi="宋体" w:cs="Arial"/>
          <w:bCs/>
          <w:color w:val="auto"/>
          <w:kern w:val="0"/>
          <w:sz w:val="22"/>
          <w:szCs w:val="22"/>
          <w:lang w:eastAsia="zh-CN"/>
        </w:rPr>
        <w:t>温州金丽温高速公路东延线有限公司</w:t>
      </w:r>
      <w:r>
        <w:rPr>
          <w:rFonts w:ascii="Arial" w:hAnsi="宋体" w:cs="Arial"/>
          <w:color w:val="auto"/>
          <w:kern w:val="0"/>
          <w:sz w:val="22"/>
          <w:szCs w:val="22"/>
        </w:rPr>
        <w:t>，联系人：</w:t>
      </w:r>
      <w:r>
        <w:rPr>
          <w:rFonts w:hint="eastAsia" w:ascii="Arial" w:hAnsi="宋体" w:cs="Arial"/>
          <w:color w:val="auto"/>
          <w:kern w:val="0"/>
          <w:sz w:val="22"/>
          <w:szCs w:val="22"/>
          <w:lang w:eastAsia="zh-CN"/>
        </w:rPr>
        <w:t>魏工</w:t>
      </w:r>
      <w:r>
        <w:rPr>
          <w:rFonts w:hint="eastAsia" w:ascii="Arial" w:hAnsi="宋体" w:cs="Arial"/>
          <w:color w:val="auto"/>
          <w:kern w:val="0"/>
          <w:sz w:val="22"/>
          <w:szCs w:val="22"/>
        </w:rPr>
        <w:t xml:space="preserve">   </w:t>
      </w:r>
      <w:r>
        <w:rPr>
          <w:rFonts w:ascii="Arial" w:hAnsi="宋体" w:cs="Arial"/>
          <w:color w:val="auto"/>
          <w:kern w:val="0"/>
          <w:sz w:val="22"/>
          <w:szCs w:val="22"/>
        </w:rPr>
        <w:t>电话：</w:t>
      </w:r>
      <w:r>
        <w:rPr>
          <w:rFonts w:hint="eastAsia" w:ascii="Arial" w:hAnsi="宋体" w:cs="Arial"/>
          <w:color w:val="auto"/>
          <w:kern w:val="0"/>
          <w:sz w:val="22"/>
          <w:szCs w:val="22"/>
        </w:rPr>
        <w:t>0577-</w:t>
      </w:r>
      <w:r>
        <w:rPr>
          <w:rFonts w:hint="eastAsia" w:ascii="Arial" w:hAnsi="宋体" w:cs="Arial"/>
          <w:color w:val="auto"/>
          <w:kern w:val="0"/>
          <w:sz w:val="22"/>
          <w:szCs w:val="22"/>
          <w:lang w:val="en-US" w:eastAsia="zh-CN"/>
        </w:rPr>
        <w:t>88759016</w:t>
      </w:r>
      <w:r>
        <w:rPr>
          <w:rFonts w:hint="eastAsia" w:ascii="Arial" w:hAnsi="宋体" w:cs="Arial"/>
          <w:color w:val="auto"/>
          <w:kern w:val="0"/>
          <w:sz w:val="22"/>
          <w:szCs w:val="22"/>
        </w:rPr>
        <w:t xml:space="preserve"> </w:t>
      </w:r>
    </w:p>
    <w:p>
      <w:pPr>
        <w:widowControl/>
        <w:spacing w:before="60" w:after="60" w:line="400" w:lineRule="exact"/>
        <w:ind w:left="60" w:right="60"/>
        <w:jc w:val="left"/>
        <w:rPr>
          <w:rFonts w:ascii="Arial" w:hAnsi="Arial" w:cs="Arial"/>
          <w:bCs/>
          <w:kern w:val="0"/>
          <w:sz w:val="22"/>
          <w:szCs w:val="22"/>
        </w:rPr>
      </w:pPr>
      <w:r>
        <w:rPr>
          <w:rFonts w:ascii="Arial" w:hAnsi="宋体" w:cs="Arial"/>
          <w:bCs/>
          <w:kern w:val="0"/>
          <w:sz w:val="22"/>
          <w:szCs w:val="22"/>
        </w:rPr>
        <w:t>十</w:t>
      </w:r>
      <w:r>
        <w:rPr>
          <w:rFonts w:hint="eastAsia" w:ascii="Arial" w:hAnsi="宋体" w:cs="Arial"/>
          <w:bCs/>
          <w:kern w:val="0"/>
          <w:sz w:val="22"/>
          <w:szCs w:val="22"/>
        </w:rPr>
        <w:t>一</w:t>
      </w:r>
      <w:r>
        <w:rPr>
          <w:rFonts w:ascii="Arial" w:hAnsi="宋体" w:cs="Arial"/>
          <w:bCs/>
          <w:kern w:val="0"/>
          <w:sz w:val="22"/>
          <w:szCs w:val="22"/>
        </w:rPr>
        <w:t>、联系方式</w:t>
      </w:r>
    </w:p>
    <w:p>
      <w:pPr>
        <w:widowControl/>
        <w:spacing w:before="60" w:after="60" w:line="400" w:lineRule="exact"/>
        <w:ind w:left="61" w:leftChars="29" w:right="60" w:firstLine="440" w:firstLineChars="200"/>
        <w:jc w:val="left"/>
        <w:rPr>
          <w:rFonts w:ascii="Arial" w:hAnsi="Arial" w:cs="Arial"/>
          <w:bCs/>
          <w:kern w:val="0"/>
          <w:sz w:val="22"/>
          <w:szCs w:val="22"/>
        </w:rPr>
      </w:pPr>
      <w:r>
        <w:rPr>
          <w:rFonts w:ascii="Arial" w:hAnsi="宋体" w:cs="Arial"/>
          <w:bCs/>
          <w:kern w:val="0"/>
          <w:sz w:val="22"/>
          <w:szCs w:val="22"/>
        </w:rPr>
        <w:t>招标代理机构名称：</w:t>
      </w:r>
      <w:r>
        <w:rPr>
          <w:rFonts w:hint="eastAsia" w:ascii="Arial" w:hAnsi="宋体" w:cs="Arial"/>
          <w:bCs/>
          <w:kern w:val="0"/>
          <w:sz w:val="22"/>
          <w:szCs w:val="22"/>
        </w:rPr>
        <w:t>浙江鸿银项目管理有限公司</w:t>
      </w:r>
    </w:p>
    <w:p>
      <w:pPr>
        <w:widowControl/>
        <w:spacing w:before="60" w:after="60" w:line="400" w:lineRule="exact"/>
        <w:ind w:left="61" w:leftChars="29" w:right="60" w:firstLine="440" w:firstLineChars="200"/>
        <w:jc w:val="left"/>
        <w:rPr>
          <w:rFonts w:ascii="Arial" w:hAnsi="Arial" w:cs="Arial"/>
          <w:snapToGrid w:val="0"/>
          <w:kern w:val="0"/>
          <w:sz w:val="22"/>
          <w:szCs w:val="22"/>
        </w:rPr>
      </w:pPr>
      <w:r>
        <w:rPr>
          <w:rFonts w:ascii="Arial" w:hAnsi="宋体" w:cs="Arial"/>
          <w:bCs/>
          <w:kern w:val="0"/>
          <w:sz w:val="22"/>
          <w:szCs w:val="22"/>
        </w:rPr>
        <w:t>地址：</w:t>
      </w:r>
      <w:r>
        <w:rPr>
          <w:rFonts w:hint="eastAsia" w:ascii="Arial" w:hAnsi="宋体" w:cs="Arial"/>
          <w:bCs/>
          <w:kern w:val="0"/>
          <w:sz w:val="22"/>
          <w:szCs w:val="22"/>
        </w:rPr>
        <w:t>温州市鹿城区大南路世贸中心大厦3405室。</w:t>
      </w:r>
    </w:p>
    <w:p>
      <w:pPr>
        <w:widowControl/>
        <w:spacing w:before="60" w:after="60" w:line="400" w:lineRule="exact"/>
        <w:ind w:left="61" w:leftChars="29" w:right="60" w:firstLine="440" w:firstLineChars="200"/>
        <w:jc w:val="left"/>
        <w:rPr>
          <w:rFonts w:ascii="Arial" w:hAnsi="Arial" w:cs="Arial"/>
          <w:bCs/>
          <w:kern w:val="0"/>
          <w:sz w:val="22"/>
          <w:szCs w:val="22"/>
        </w:rPr>
      </w:pPr>
      <w:r>
        <w:rPr>
          <w:rFonts w:ascii="Arial" w:hAnsi="宋体" w:cs="Arial"/>
          <w:bCs/>
          <w:kern w:val="0"/>
          <w:sz w:val="22"/>
          <w:szCs w:val="22"/>
        </w:rPr>
        <w:t>联系人：</w:t>
      </w:r>
      <w:r>
        <w:rPr>
          <w:rFonts w:hint="eastAsia" w:ascii="Arial" w:hAnsi="宋体" w:cs="Arial"/>
          <w:bCs/>
          <w:kern w:val="0"/>
          <w:sz w:val="22"/>
          <w:szCs w:val="22"/>
        </w:rPr>
        <w:t>包先生</w:t>
      </w:r>
      <w:r>
        <w:rPr>
          <w:rFonts w:ascii="Arial" w:hAnsi="宋体" w:cs="Arial"/>
          <w:bCs/>
          <w:kern w:val="0"/>
          <w:sz w:val="22"/>
          <w:szCs w:val="22"/>
        </w:rPr>
        <w:t>电话：</w:t>
      </w:r>
      <w:r>
        <w:rPr>
          <w:rFonts w:hint="eastAsia" w:ascii="Arial" w:hAnsi="宋体" w:cs="Arial"/>
          <w:bCs/>
          <w:kern w:val="0"/>
          <w:sz w:val="22"/>
          <w:szCs w:val="22"/>
        </w:rPr>
        <w:t>18072192599/0577-88860205</w:t>
      </w:r>
    </w:p>
    <w:p>
      <w:pPr>
        <w:pStyle w:val="4"/>
        <w:jc w:val="both"/>
        <w:rPr>
          <w:rFonts w:ascii="宋体" w:hAnsi="宋体" w:eastAsia="宋体"/>
          <w:sz w:val="32"/>
          <w:szCs w:val="32"/>
        </w:rPr>
      </w:pPr>
      <w:bookmarkStart w:id="11" w:name="_Toc9585667"/>
      <w:bookmarkStart w:id="12" w:name="_Toc511223363"/>
      <w:bookmarkStart w:id="13" w:name="_Toc511223132"/>
    </w:p>
    <w:p/>
    <w:p>
      <w:pPr>
        <w:pStyle w:val="2"/>
      </w:pPr>
    </w:p>
    <w:p>
      <w:pPr>
        <w:pStyle w:val="3"/>
      </w:pPr>
    </w:p>
    <w:p>
      <w:pPr>
        <w:pStyle w:val="3"/>
      </w:pPr>
    </w:p>
    <w:p>
      <w:pPr>
        <w:pStyle w:val="3"/>
      </w:pPr>
    </w:p>
    <w:p>
      <w:pPr>
        <w:pStyle w:val="4"/>
        <w:rPr>
          <w:rFonts w:ascii="宋体" w:hAnsi="宋体" w:eastAsia="宋体"/>
          <w:color w:val="auto"/>
          <w:sz w:val="32"/>
          <w:szCs w:val="32"/>
        </w:rPr>
      </w:pPr>
      <w:r>
        <w:rPr>
          <w:rFonts w:hint="eastAsia" w:ascii="Arial" w:hAnsi="宋体" w:eastAsia="宋体" w:cs="Arial"/>
          <w:sz w:val="36"/>
          <w:szCs w:val="36"/>
          <w:lang w:val="en-US" w:eastAsia="zh-CN"/>
        </w:rPr>
        <w:t>温州</w:t>
      </w:r>
      <w:r>
        <w:rPr>
          <w:rFonts w:hint="eastAsia" w:ascii="宋体" w:hAnsi="宋体" w:eastAsia="宋体" w:cs="Times New Roman"/>
          <w:color w:val="auto"/>
          <w:sz w:val="32"/>
          <w:szCs w:val="32"/>
          <w:lang w:val="en-US" w:eastAsia="zh-CN"/>
        </w:rPr>
        <w:t>市交投集团金丽温东延线公司皮卡车采购项目</w:t>
      </w:r>
      <w:r>
        <w:rPr>
          <w:rFonts w:hint="eastAsia" w:ascii="宋体" w:hAnsi="宋体" w:eastAsia="宋体"/>
          <w:color w:val="auto"/>
          <w:sz w:val="32"/>
          <w:szCs w:val="32"/>
        </w:rPr>
        <w:t>项目征求意见公示</w:t>
      </w:r>
      <w:bookmarkEnd w:id="11"/>
      <w:bookmarkEnd w:id="12"/>
      <w:bookmarkEnd w:id="13"/>
    </w:p>
    <w:p>
      <w:pPr>
        <w:widowControl/>
        <w:spacing w:line="400" w:lineRule="exact"/>
        <w:ind w:firstLine="440" w:firstLineChars="200"/>
        <w:jc w:val="left"/>
        <w:rPr>
          <w:rFonts w:ascii="宋体" w:hAnsi="宋体" w:cs="新宋体"/>
          <w:kern w:val="0"/>
          <w:sz w:val="22"/>
          <w:szCs w:val="22"/>
        </w:rPr>
      </w:pPr>
      <w:r>
        <w:rPr>
          <w:rFonts w:hint="eastAsia" w:ascii="宋体" w:hAnsi="宋体" w:cs="新宋体"/>
          <w:color w:val="auto"/>
          <w:kern w:val="0"/>
          <w:sz w:val="22"/>
          <w:szCs w:val="22"/>
        </w:rPr>
        <w:t>浙江鸿银项目管理有限公司就</w:t>
      </w:r>
      <w:r>
        <w:rPr>
          <w:rFonts w:hint="eastAsia" w:ascii="宋体" w:hAnsi="宋体" w:cs="新宋体"/>
          <w:color w:val="auto"/>
          <w:kern w:val="0"/>
          <w:sz w:val="22"/>
          <w:szCs w:val="22"/>
          <w:lang w:eastAsia="zh-CN"/>
        </w:rPr>
        <w:t>温州金丽温高速公路东延线有限公司皮卡车采购</w:t>
      </w:r>
      <w:r>
        <w:rPr>
          <w:rFonts w:hint="eastAsia" w:ascii="宋体" w:hAnsi="宋体" w:cs="新宋体"/>
          <w:color w:val="auto"/>
          <w:kern w:val="0"/>
          <w:sz w:val="22"/>
          <w:szCs w:val="22"/>
        </w:rPr>
        <w:t>项目以公开招标方式采购。现将招标文件公布如下,并</w:t>
      </w:r>
      <w:r>
        <w:rPr>
          <w:rFonts w:hint="eastAsia" w:ascii="宋体" w:hAnsi="宋体" w:cs="新宋体"/>
          <w:kern w:val="0"/>
          <w:sz w:val="22"/>
          <w:szCs w:val="22"/>
        </w:rPr>
        <w:t>公开征求供应商及专家意见。</w:t>
      </w:r>
    </w:p>
    <w:p>
      <w:pPr>
        <w:widowControl/>
        <w:spacing w:line="400" w:lineRule="exact"/>
        <w:ind w:firstLine="440" w:firstLineChars="200"/>
        <w:jc w:val="left"/>
        <w:rPr>
          <w:rFonts w:ascii="宋体" w:hAnsi="宋体" w:cs="Calibri"/>
          <w:sz w:val="22"/>
          <w:szCs w:val="22"/>
        </w:rPr>
      </w:pPr>
      <w:r>
        <w:rPr>
          <w:rFonts w:hint="eastAsia" w:ascii="宋体" w:hAnsi="宋体" w:cs="Calibri"/>
          <w:sz w:val="22"/>
          <w:szCs w:val="22"/>
        </w:rPr>
        <w:t>一、征求意见范围：</w:t>
      </w:r>
    </w:p>
    <w:p>
      <w:pPr>
        <w:widowControl/>
        <w:spacing w:line="400" w:lineRule="exact"/>
        <w:ind w:firstLine="440" w:firstLineChars="200"/>
        <w:jc w:val="left"/>
        <w:rPr>
          <w:rFonts w:ascii="宋体" w:hAnsi="宋体" w:cs="Calibri"/>
          <w:sz w:val="22"/>
          <w:szCs w:val="22"/>
        </w:rPr>
      </w:pPr>
      <w:r>
        <w:rPr>
          <w:rFonts w:hint="eastAsia" w:ascii="宋体" w:hAnsi="宋体" w:cs="Calibri"/>
          <w:sz w:val="22"/>
          <w:szCs w:val="22"/>
        </w:rPr>
        <w:t>1、是否出现明显的倾向性意见和特定的性能指标；</w:t>
      </w:r>
    </w:p>
    <w:p>
      <w:pPr>
        <w:widowControl/>
        <w:spacing w:line="400" w:lineRule="exact"/>
        <w:ind w:firstLine="440" w:firstLineChars="200"/>
        <w:jc w:val="left"/>
        <w:rPr>
          <w:rFonts w:ascii="宋体" w:hAnsi="宋体" w:cs="Calibri"/>
          <w:sz w:val="22"/>
          <w:szCs w:val="22"/>
        </w:rPr>
      </w:pPr>
      <w:r>
        <w:rPr>
          <w:rFonts w:hint="eastAsia" w:ascii="宋体" w:hAnsi="宋体" w:cs="Calibri"/>
          <w:sz w:val="22"/>
          <w:szCs w:val="22"/>
        </w:rPr>
        <w:t>2、影响国有企业采购“公开、公平、公正”原则的其他情况。 </w:t>
      </w:r>
    </w:p>
    <w:p>
      <w:pPr>
        <w:widowControl/>
        <w:spacing w:line="400" w:lineRule="exact"/>
        <w:ind w:firstLine="440" w:firstLineChars="200"/>
        <w:jc w:val="left"/>
        <w:rPr>
          <w:rFonts w:ascii="宋体" w:hAnsi="宋体" w:cs="Calibri"/>
          <w:sz w:val="22"/>
          <w:szCs w:val="22"/>
        </w:rPr>
      </w:pPr>
      <w:r>
        <w:rPr>
          <w:rFonts w:hint="eastAsia" w:ascii="宋体" w:hAnsi="宋体" w:cs="Calibri"/>
          <w:sz w:val="22"/>
          <w:szCs w:val="22"/>
        </w:rPr>
        <w:t>二、征求意见的回复：</w:t>
      </w:r>
    </w:p>
    <w:p>
      <w:pPr>
        <w:widowControl/>
        <w:spacing w:line="400" w:lineRule="exact"/>
        <w:ind w:firstLine="440" w:firstLineChars="200"/>
        <w:jc w:val="left"/>
        <w:rPr>
          <w:rFonts w:ascii="宋体" w:hAnsi="宋体" w:cs="Calibri"/>
          <w:sz w:val="22"/>
          <w:szCs w:val="22"/>
        </w:rPr>
      </w:pPr>
      <w:r>
        <w:rPr>
          <w:rFonts w:hint="eastAsia" w:ascii="宋体" w:hAnsi="宋体" w:cs="Calibri"/>
          <w:sz w:val="22"/>
          <w:szCs w:val="22"/>
        </w:rPr>
        <w:t>各供应商及专家提出修改理由和建议的，请于2019年</w:t>
      </w:r>
      <w:r>
        <w:rPr>
          <w:rFonts w:hint="eastAsia" w:ascii="宋体" w:hAnsi="宋体" w:cs="Calibri"/>
          <w:color w:val="0000FF"/>
          <w:sz w:val="22"/>
          <w:szCs w:val="22"/>
          <w:lang w:val="en-US" w:eastAsia="zh-CN"/>
        </w:rPr>
        <w:t>10</w:t>
      </w:r>
      <w:r>
        <w:rPr>
          <w:rFonts w:hint="eastAsia" w:ascii="宋体" w:hAnsi="宋体" w:cs="Calibri"/>
          <w:color w:val="0000FF"/>
          <w:sz w:val="22"/>
          <w:szCs w:val="22"/>
        </w:rPr>
        <w:t>月</w:t>
      </w:r>
      <w:r>
        <w:rPr>
          <w:rFonts w:hint="eastAsia" w:ascii="宋体" w:hAnsi="宋体" w:cs="Calibri"/>
          <w:color w:val="0000FF"/>
          <w:sz w:val="22"/>
          <w:szCs w:val="22"/>
          <w:lang w:val="en-US" w:eastAsia="zh-CN"/>
        </w:rPr>
        <w:t>28</w:t>
      </w:r>
      <w:r>
        <w:rPr>
          <w:rFonts w:hint="eastAsia" w:ascii="宋体" w:hAnsi="宋体" w:cs="Calibri"/>
          <w:color w:val="0000FF"/>
          <w:sz w:val="22"/>
          <w:szCs w:val="22"/>
        </w:rPr>
        <w:t>日</w:t>
      </w:r>
      <w:r>
        <w:rPr>
          <w:rFonts w:hint="eastAsia" w:ascii="宋体" w:hAnsi="宋体" w:cs="Calibri"/>
          <w:sz w:val="22"/>
          <w:szCs w:val="22"/>
          <w:lang w:eastAsia="zh-CN"/>
        </w:rPr>
        <w:t>下午</w:t>
      </w:r>
      <w:r>
        <w:rPr>
          <w:rFonts w:hint="eastAsia" w:ascii="宋体" w:hAnsi="宋体" w:cs="Calibri"/>
          <w:sz w:val="22"/>
          <w:szCs w:val="22"/>
        </w:rPr>
        <w:t>17:00前（节假日除外）将书面材料签字（盖章）并密封后送至温州市鹿城区大南路世贸中心大厦3405室，外地可传真送达，传真：0577-88860205，传真件必须签字（盖章）。同时将电子文档发送至以下信箱：337526831@qq.com。</w:t>
      </w:r>
    </w:p>
    <w:p>
      <w:pPr>
        <w:widowControl/>
        <w:spacing w:line="400" w:lineRule="exact"/>
        <w:ind w:firstLine="440" w:firstLineChars="200"/>
        <w:jc w:val="left"/>
        <w:rPr>
          <w:rFonts w:ascii="宋体" w:hAnsi="宋体" w:cs="Calibri"/>
          <w:sz w:val="22"/>
          <w:szCs w:val="22"/>
        </w:rPr>
      </w:pPr>
      <w:r>
        <w:rPr>
          <w:rFonts w:hint="eastAsia" w:ascii="宋体" w:hAnsi="宋体" w:cs="Calibri"/>
          <w:sz w:val="22"/>
          <w:szCs w:val="22"/>
        </w:rPr>
        <w:t>联系人：包先生  联系电话：</w:t>
      </w:r>
      <w:r>
        <w:rPr>
          <w:rFonts w:hint="eastAsia" w:ascii="Arial" w:hAnsi="宋体" w:cs="Arial"/>
          <w:bCs/>
          <w:kern w:val="0"/>
          <w:sz w:val="22"/>
          <w:szCs w:val="22"/>
        </w:rPr>
        <w:t>18072192599</w:t>
      </w:r>
      <w:r>
        <w:rPr>
          <w:rFonts w:hint="eastAsia" w:ascii="宋体" w:hAnsi="宋体" w:cs="Calibri"/>
          <w:sz w:val="22"/>
          <w:szCs w:val="22"/>
        </w:rPr>
        <w:t>。对逾期送达的意见、建议书恕不接受。</w:t>
      </w:r>
    </w:p>
    <w:p>
      <w:pPr>
        <w:widowControl/>
        <w:spacing w:line="360" w:lineRule="auto"/>
        <w:jc w:val="right"/>
        <w:rPr>
          <w:rFonts w:ascii="宋体" w:hAnsi="宋体" w:cs="新宋体"/>
          <w:color w:val="C00000"/>
          <w:kern w:val="0"/>
          <w:sz w:val="22"/>
          <w:szCs w:val="22"/>
        </w:rPr>
      </w:pPr>
    </w:p>
    <w:p>
      <w:pPr>
        <w:widowControl/>
        <w:spacing w:line="360" w:lineRule="auto"/>
        <w:jc w:val="right"/>
        <w:rPr>
          <w:rFonts w:hint="eastAsia" w:ascii="宋体" w:hAnsi="宋体" w:eastAsia="宋体" w:cs="新宋体"/>
          <w:color w:val="auto"/>
          <w:kern w:val="0"/>
          <w:sz w:val="22"/>
          <w:szCs w:val="22"/>
          <w:lang w:eastAsia="zh-CN"/>
        </w:rPr>
      </w:pPr>
      <w:r>
        <w:rPr>
          <w:rFonts w:hint="eastAsia" w:ascii="宋体" w:hAnsi="宋体" w:cs="新宋体"/>
          <w:color w:val="C00000"/>
          <w:kern w:val="0"/>
          <w:sz w:val="22"/>
          <w:szCs w:val="22"/>
        </w:rPr>
        <w:t> </w:t>
      </w:r>
      <w:r>
        <w:rPr>
          <w:rFonts w:hint="eastAsia" w:ascii="宋体" w:hAnsi="宋体" w:cs="新宋体"/>
          <w:color w:val="auto"/>
          <w:kern w:val="0"/>
          <w:sz w:val="22"/>
          <w:szCs w:val="22"/>
          <w:lang w:eastAsia="zh-CN"/>
        </w:rPr>
        <w:t>温州金丽温高速公路东延线有限公司</w:t>
      </w:r>
    </w:p>
    <w:p>
      <w:pPr>
        <w:widowControl/>
        <w:spacing w:line="360" w:lineRule="auto"/>
        <w:jc w:val="right"/>
        <w:rPr>
          <w:rFonts w:ascii="宋体" w:hAnsi="宋体" w:cs="新宋体"/>
          <w:color w:val="auto"/>
          <w:kern w:val="0"/>
          <w:sz w:val="22"/>
          <w:szCs w:val="22"/>
        </w:rPr>
      </w:pPr>
      <w:r>
        <w:rPr>
          <w:rFonts w:hint="eastAsia" w:ascii="Arial" w:hAnsi="宋体" w:cs="Arial"/>
          <w:bCs/>
          <w:color w:val="auto"/>
          <w:kern w:val="0"/>
          <w:sz w:val="22"/>
          <w:szCs w:val="22"/>
        </w:rPr>
        <w:t>浙江鸿银项目管理有限公司</w:t>
      </w:r>
    </w:p>
    <w:p>
      <w:pPr>
        <w:wordWrap w:val="0"/>
        <w:spacing w:line="360" w:lineRule="auto"/>
        <w:ind w:firstLine="418" w:firstLineChars="190"/>
        <w:jc w:val="right"/>
        <w:rPr>
          <w:rFonts w:ascii="宋体" w:hAnsi="宋体" w:cs="Arial"/>
          <w:color w:val="auto"/>
          <w:sz w:val="22"/>
          <w:szCs w:val="22"/>
        </w:rPr>
      </w:pPr>
      <w:r>
        <w:rPr>
          <w:rFonts w:hint="eastAsia" w:ascii="宋体" w:hAnsi="宋体" w:cs="新宋体"/>
          <w:color w:val="auto"/>
          <w:kern w:val="0"/>
          <w:sz w:val="22"/>
          <w:szCs w:val="22"/>
        </w:rPr>
        <w:t>2019年</w:t>
      </w:r>
      <w:r>
        <w:rPr>
          <w:rFonts w:hint="eastAsia" w:ascii="宋体" w:hAnsi="宋体" w:cs="新宋体"/>
          <w:color w:val="auto"/>
          <w:kern w:val="0"/>
          <w:sz w:val="22"/>
          <w:szCs w:val="22"/>
          <w:lang w:val="en-US" w:eastAsia="zh-CN"/>
        </w:rPr>
        <w:t>10</w:t>
      </w:r>
      <w:r>
        <w:rPr>
          <w:rFonts w:hint="eastAsia" w:ascii="宋体" w:hAnsi="宋体" w:cs="新宋体"/>
          <w:color w:val="auto"/>
          <w:kern w:val="0"/>
          <w:sz w:val="22"/>
          <w:szCs w:val="22"/>
        </w:rPr>
        <w:t>月</w:t>
      </w:r>
      <w:r>
        <w:rPr>
          <w:rFonts w:hint="eastAsia" w:ascii="宋体" w:hAnsi="宋体" w:cs="新宋体"/>
          <w:color w:val="auto"/>
          <w:kern w:val="0"/>
          <w:sz w:val="22"/>
          <w:szCs w:val="22"/>
          <w:lang w:val="en-US" w:eastAsia="zh-CN"/>
        </w:rPr>
        <w:t>21</w:t>
      </w:r>
      <w:r>
        <w:rPr>
          <w:rFonts w:hint="eastAsia" w:ascii="宋体" w:hAnsi="宋体" w:cs="新宋体"/>
          <w:color w:val="auto"/>
          <w:kern w:val="0"/>
          <w:sz w:val="22"/>
          <w:szCs w:val="22"/>
        </w:rPr>
        <w:t>日</w:t>
      </w:r>
    </w:p>
    <w:p>
      <w:pPr>
        <w:spacing w:line="360" w:lineRule="auto"/>
        <w:ind w:firstLine="418" w:firstLineChars="190"/>
        <w:jc w:val="right"/>
        <w:rPr>
          <w:rFonts w:ascii="宋体" w:hAnsi="宋体" w:cs="Arial"/>
          <w:color w:val="000000" w:themeColor="text1"/>
          <w:sz w:val="22"/>
          <w:szCs w:val="22"/>
          <w14:textFill>
            <w14:solidFill>
              <w14:schemeClr w14:val="tx1"/>
            </w14:solidFill>
          </w14:textFill>
        </w:rPr>
      </w:pPr>
      <w:bookmarkStart w:id="203" w:name="_GoBack"/>
      <w:bookmarkEnd w:id="203"/>
      <w:r>
        <w:rPr>
          <w:rFonts w:hint="eastAsia" w:ascii="宋体" w:hAnsi="宋体" w:cs="Arial"/>
          <w:color w:val="000000" w:themeColor="text1"/>
          <w:sz w:val="22"/>
          <w:szCs w:val="22"/>
          <w14:textFill>
            <w14:solidFill>
              <w14:schemeClr w14:val="tx1"/>
            </w14:solidFill>
          </w14:textFill>
        </w:rPr>
        <w:br w:type="page"/>
      </w:r>
    </w:p>
    <w:p>
      <w:pPr>
        <w:pStyle w:val="4"/>
        <w:rPr>
          <w:rFonts w:ascii="宋体" w:hAnsi="宋体" w:eastAsia="宋体" w:cs="Arial"/>
          <w:color w:val="000000" w:themeColor="text1"/>
          <w:sz w:val="36"/>
          <w:szCs w:val="36"/>
          <w14:textFill>
            <w14:solidFill>
              <w14:schemeClr w14:val="tx1"/>
            </w14:solidFill>
          </w14:textFill>
        </w:rPr>
      </w:pPr>
      <w:bookmarkStart w:id="14" w:name="_Toc245722277"/>
      <w:bookmarkStart w:id="15" w:name="_Toc221374622"/>
      <w:bookmarkStart w:id="16" w:name="_Toc241404198"/>
      <w:bookmarkStart w:id="17" w:name="_Toc222114875"/>
      <w:bookmarkStart w:id="18" w:name="_Toc382360955"/>
      <w:bookmarkStart w:id="19" w:name="_Toc249758860"/>
      <w:bookmarkStart w:id="20" w:name="_Toc262105499"/>
      <w:bookmarkStart w:id="21" w:name="_Toc249758708"/>
      <w:bookmarkStart w:id="22" w:name="_Toc245191310"/>
      <w:bookmarkStart w:id="23" w:name="_Toc223715994"/>
      <w:bookmarkStart w:id="24" w:name="_Toc221423615"/>
      <w:bookmarkStart w:id="25" w:name="_Toc246261261"/>
      <w:bookmarkStart w:id="26" w:name="_Toc221356882"/>
      <w:bookmarkStart w:id="27" w:name="_Toc262049414"/>
      <w:bookmarkStart w:id="28" w:name="_Toc221356947"/>
      <w:bookmarkStart w:id="29" w:name="_Toc239145350"/>
      <w:r>
        <w:rPr>
          <w:rFonts w:hint="eastAsia" w:ascii="宋体" w:hAnsi="宋体" w:eastAsia="宋体" w:cs="Arial"/>
          <w:color w:val="000000" w:themeColor="text1"/>
          <w:sz w:val="36"/>
          <w:szCs w:val="36"/>
          <w14:textFill>
            <w14:solidFill>
              <w14:schemeClr w14:val="tx1"/>
            </w14:solidFill>
          </w14:textFill>
        </w:rPr>
        <w:t>第一部分    投标人须知</w:t>
      </w:r>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p>
      <w:pPr>
        <w:spacing w:before="100" w:beforeAutospacing="1" w:after="100" w:afterAutospacing="1" w:line="440" w:lineRule="exact"/>
        <w:jc w:val="center"/>
        <w:outlineLvl w:val="0"/>
        <w:rPr>
          <w:rFonts w:ascii="宋体" w:hAnsi="宋体"/>
          <w:b/>
          <w:bCs/>
          <w:color w:val="000000" w:themeColor="text1"/>
          <w:sz w:val="26"/>
          <w:szCs w:val="26"/>
          <w14:textFill>
            <w14:solidFill>
              <w14:schemeClr w14:val="tx1"/>
            </w14:solidFill>
          </w14:textFill>
        </w:rPr>
      </w:pPr>
      <w:bookmarkStart w:id="30" w:name="_Toc221374623"/>
      <w:bookmarkStart w:id="31" w:name="_Toc245191311"/>
      <w:bookmarkStart w:id="32" w:name="_Toc245722278"/>
      <w:bookmarkStart w:id="33" w:name="_Toc239145351"/>
      <w:bookmarkStart w:id="34" w:name="_Toc262049415"/>
      <w:bookmarkStart w:id="35" w:name="_Toc222114876"/>
      <w:bookmarkStart w:id="36" w:name="_Toc262105500"/>
      <w:bookmarkStart w:id="37" w:name="_Toc249758861"/>
      <w:bookmarkStart w:id="38" w:name="_Toc382360956"/>
      <w:bookmarkStart w:id="39" w:name="_Toc221356948"/>
      <w:bookmarkStart w:id="40" w:name="_Toc223715995"/>
      <w:bookmarkStart w:id="41" w:name="_Toc249758709"/>
      <w:bookmarkStart w:id="42" w:name="_Toc221356883"/>
      <w:bookmarkStart w:id="43" w:name="_Toc246261262"/>
      <w:bookmarkStart w:id="44" w:name="_Toc221423616"/>
      <w:bookmarkStart w:id="45" w:name="_Toc241404199"/>
      <w:r>
        <w:rPr>
          <w:rFonts w:hint="eastAsia" w:ascii="宋体" w:hAnsi="宋体"/>
          <w:b/>
          <w:bCs/>
          <w:color w:val="000000" w:themeColor="text1"/>
          <w:sz w:val="26"/>
          <w:szCs w:val="26"/>
          <w14:textFill>
            <w14:solidFill>
              <w14:schemeClr w14:val="tx1"/>
            </w14:solidFill>
          </w14:textFill>
        </w:rPr>
        <w:t>一、  说明</w:t>
      </w:r>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pPr>
        <w:numPr>
          <w:ilvl w:val="0"/>
          <w:numId w:val="3"/>
        </w:numPr>
        <w:tabs>
          <w:tab w:val="left" w:pos="540"/>
          <w:tab w:val="left" w:pos="900"/>
          <w:tab w:val="clear" w:pos="420"/>
        </w:tabs>
        <w:spacing w:line="460" w:lineRule="exact"/>
        <w:ind w:left="540" w:hanging="540"/>
        <w:rPr>
          <w:rFonts w:ascii="宋体" w:hAnsi="宋体" w:cs="Arial"/>
          <w:color w:val="000000" w:themeColor="text1"/>
          <w:sz w:val="22"/>
          <w:szCs w:val="22"/>
          <w14:textFill>
            <w14:solidFill>
              <w14:schemeClr w14:val="tx1"/>
            </w14:solidFill>
          </w14:textFill>
        </w:rPr>
      </w:pPr>
      <w:r>
        <w:rPr>
          <w:rFonts w:hint="eastAsia" w:ascii="宋体" w:hAnsi="宋体" w:cs="Arial"/>
          <w:color w:val="000000" w:themeColor="text1"/>
          <w:sz w:val="22"/>
          <w:szCs w:val="22"/>
          <w14:textFill>
            <w14:solidFill>
              <w14:schemeClr w14:val="tx1"/>
            </w14:solidFill>
          </w14:textFill>
        </w:rPr>
        <w:t>本次招标是按照《温州市国有企业采购管理办法（试行）》等法律及有关法规组织和实施的。</w:t>
      </w:r>
    </w:p>
    <w:p>
      <w:pPr>
        <w:numPr>
          <w:ilvl w:val="0"/>
          <w:numId w:val="3"/>
        </w:numPr>
        <w:tabs>
          <w:tab w:val="left" w:pos="540"/>
          <w:tab w:val="left" w:pos="900"/>
          <w:tab w:val="clear" w:pos="420"/>
        </w:tabs>
        <w:spacing w:line="460" w:lineRule="exact"/>
        <w:ind w:left="540" w:hanging="540"/>
        <w:rPr>
          <w:rFonts w:ascii="宋体" w:hAnsi="宋体" w:cs="Arial"/>
          <w:color w:val="000000" w:themeColor="text1"/>
          <w:sz w:val="22"/>
          <w:szCs w:val="22"/>
          <w14:textFill>
            <w14:solidFill>
              <w14:schemeClr w14:val="tx1"/>
            </w14:solidFill>
          </w14:textFill>
        </w:rPr>
      </w:pPr>
      <w:r>
        <w:rPr>
          <w:rFonts w:hint="eastAsia" w:ascii="宋体" w:hAnsi="宋体" w:cs="Arial"/>
          <w:b/>
          <w:bCs/>
          <w:color w:val="000000" w:themeColor="text1"/>
          <w:szCs w:val="21"/>
          <w14:textFill>
            <w14:solidFill>
              <w14:schemeClr w14:val="tx1"/>
            </w14:solidFill>
          </w14:textFill>
        </w:rPr>
        <w:t>▲</w:t>
      </w:r>
      <w:r>
        <w:rPr>
          <w:rFonts w:hint="eastAsia" w:ascii="宋体" w:hAnsi="宋体" w:cs="Arial"/>
          <w:b/>
          <w:color w:val="000000" w:themeColor="text1"/>
          <w:sz w:val="22"/>
          <w:szCs w:val="22"/>
          <w:u w:val="single"/>
          <w14:textFill>
            <w14:solidFill>
              <w14:schemeClr w14:val="tx1"/>
            </w14:solidFill>
          </w14:textFill>
        </w:rPr>
        <w:t>合格投标人</w:t>
      </w:r>
    </w:p>
    <w:p>
      <w:pPr>
        <w:numPr>
          <w:ilvl w:val="1"/>
          <w:numId w:val="4"/>
        </w:numPr>
        <w:tabs>
          <w:tab w:val="left" w:pos="360"/>
        </w:tabs>
        <w:spacing w:line="460" w:lineRule="exact"/>
        <w:rPr>
          <w:rFonts w:ascii="宋体" w:hAnsi="宋体" w:cs="Arial"/>
          <w:b/>
          <w:color w:val="000000" w:themeColor="text1"/>
          <w:sz w:val="22"/>
          <w:szCs w:val="22"/>
          <w14:textFill>
            <w14:solidFill>
              <w14:schemeClr w14:val="tx1"/>
            </w14:solidFill>
          </w14:textFill>
        </w:rPr>
      </w:pPr>
      <w:r>
        <w:rPr>
          <w:rFonts w:hint="eastAsia" w:ascii="宋体" w:hAnsi="宋体" w:cs="Arial"/>
          <w:b/>
          <w:bCs/>
          <w:color w:val="000000" w:themeColor="text1"/>
          <w:szCs w:val="21"/>
          <w14:textFill>
            <w14:solidFill>
              <w14:schemeClr w14:val="tx1"/>
            </w14:solidFill>
          </w14:textFill>
        </w:rPr>
        <w:t>▲</w:t>
      </w:r>
      <w:r>
        <w:rPr>
          <w:rFonts w:hint="eastAsia" w:ascii="宋体" w:hAnsi="宋体" w:cs="Arial"/>
          <w:b/>
          <w:color w:val="000000" w:themeColor="text1"/>
          <w:sz w:val="22"/>
          <w:szCs w:val="22"/>
          <w:u w:val="single"/>
          <w14:textFill>
            <w14:solidFill>
              <w14:schemeClr w14:val="tx1"/>
            </w14:solidFill>
          </w14:textFill>
        </w:rPr>
        <w:t>符合《温州市国有企业采购管理办法（试行）》第十一条对投标人参加温州市国有企业采购活动应当具备的条件的要求；</w:t>
      </w:r>
    </w:p>
    <w:p>
      <w:pPr>
        <w:numPr>
          <w:ilvl w:val="1"/>
          <w:numId w:val="4"/>
        </w:numPr>
        <w:tabs>
          <w:tab w:val="left" w:pos="360"/>
        </w:tabs>
        <w:spacing w:line="460" w:lineRule="exact"/>
        <w:rPr>
          <w:rFonts w:ascii="宋体" w:hAnsi="宋体" w:cs="Arial"/>
          <w:b/>
          <w:color w:val="000000" w:themeColor="text1"/>
          <w:sz w:val="22"/>
          <w:szCs w:val="22"/>
          <w14:textFill>
            <w14:solidFill>
              <w14:schemeClr w14:val="tx1"/>
            </w14:solidFill>
          </w14:textFill>
        </w:rPr>
      </w:pPr>
      <w:r>
        <w:rPr>
          <w:rFonts w:hint="eastAsia" w:ascii="宋体" w:hAnsi="宋体" w:cs="Arial"/>
          <w:b/>
          <w:bCs/>
          <w:color w:val="000000" w:themeColor="text1"/>
          <w:szCs w:val="21"/>
          <w14:textFill>
            <w14:solidFill>
              <w14:schemeClr w14:val="tx1"/>
            </w14:solidFill>
          </w14:textFill>
        </w:rPr>
        <w:t>▲</w:t>
      </w:r>
      <w:r>
        <w:rPr>
          <w:rFonts w:hint="eastAsia" w:ascii="宋体" w:hAnsi="宋体" w:cs="Arial"/>
          <w:b/>
          <w:color w:val="000000" w:themeColor="text1"/>
          <w:sz w:val="22"/>
          <w:szCs w:val="22"/>
          <w:u w:val="single"/>
          <w14:textFill>
            <w14:solidFill>
              <w14:schemeClr w14:val="tx1"/>
            </w14:solidFill>
          </w14:textFill>
        </w:rPr>
        <w:t>本项目不接受联合体投标。</w:t>
      </w:r>
    </w:p>
    <w:p>
      <w:pPr>
        <w:numPr>
          <w:ilvl w:val="0"/>
          <w:numId w:val="3"/>
        </w:numPr>
        <w:tabs>
          <w:tab w:val="left" w:pos="540"/>
          <w:tab w:val="left" w:pos="900"/>
          <w:tab w:val="clear" w:pos="420"/>
        </w:tabs>
        <w:spacing w:line="460" w:lineRule="exact"/>
        <w:ind w:left="540" w:hanging="540"/>
        <w:rPr>
          <w:rFonts w:ascii="宋体" w:hAnsi="宋体" w:cs="Arial"/>
          <w:color w:val="000000" w:themeColor="text1"/>
          <w:sz w:val="22"/>
          <w:szCs w:val="22"/>
          <w14:textFill>
            <w14:solidFill>
              <w14:schemeClr w14:val="tx1"/>
            </w14:solidFill>
          </w14:textFill>
        </w:rPr>
      </w:pPr>
      <w:r>
        <w:rPr>
          <w:rFonts w:hint="eastAsia" w:ascii="宋体" w:hAnsi="宋体" w:cs="Arial"/>
          <w:color w:val="000000" w:themeColor="text1"/>
          <w:sz w:val="22"/>
          <w:szCs w:val="22"/>
          <w14:textFill>
            <w14:solidFill>
              <w14:schemeClr w14:val="tx1"/>
            </w14:solidFill>
          </w14:textFill>
        </w:rPr>
        <w:t>投标人代表</w:t>
      </w:r>
    </w:p>
    <w:p>
      <w:pPr>
        <w:spacing w:line="460" w:lineRule="exact"/>
        <w:ind w:left="538" w:leftChars="256"/>
        <w:rPr>
          <w:rFonts w:ascii="宋体" w:hAnsi="宋体" w:cs="Arial"/>
          <w:color w:val="000000" w:themeColor="text1"/>
          <w:sz w:val="22"/>
          <w:szCs w:val="22"/>
          <w14:textFill>
            <w14:solidFill>
              <w14:schemeClr w14:val="tx1"/>
            </w14:solidFill>
          </w14:textFill>
        </w:rPr>
      </w:pPr>
      <w:r>
        <w:rPr>
          <w:rFonts w:hint="eastAsia" w:ascii="宋体" w:hAnsi="宋体" w:cs="Arial"/>
          <w:color w:val="000000" w:themeColor="text1"/>
          <w:sz w:val="22"/>
          <w:szCs w:val="22"/>
          <w14:textFill>
            <w14:solidFill>
              <w14:schemeClr w14:val="tx1"/>
            </w14:solidFill>
          </w14:textFill>
        </w:rPr>
        <w:t>指全权代表投标人参加投标活动并签署投标文件的人。如果投标人代表不是法定代表人，须持有《法定代表人授权书》。</w:t>
      </w:r>
    </w:p>
    <w:p>
      <w:pPr>
        <w:numPr>
          <w:ilvl w:val="0"/>
          <w:numId w:val="3"/>
        </w:numPr>
        <w:tabs>
          <w:tab w:val="left" w:pos="540"/>
          <w:tab w:val="left" w:pos="900"/>
          <w:tab w:val="clear" w:pos="420"/>
        </w:tabs>
        <w:spacing w:line="460" w:lineRule="exact"/>
        <w:ind w:left="540" w:hanging="540"/>
        <w:rPr>
          <w:rFonts w:ascii="宋体" w:hAnsi="宋体" w:cs="Arial"/>
          <w:color w:val="000000" w:themeColor="text1"/>
          <w:sz w:val="22"/>
          <w:szCs w:val="22"/>
          <w14:textFill>
            <w14:solidFill>
              <w14:schemeClr w14:val="tx1"/>
            </w14:solidFill>
          </w14:textFill>
        </w:rPr>
      </w:pPr>
      <w:r>
        <w:rPr>
          <w:rFonts w:hint="eastAsia" w:ascii="宋体" w:hAnsi="宋体" w:cs="Arial"/>
          <w:color w:val="000000" w:themeColor="text1"/>
          <w:sz w:val="22"/>
          <w:szCs w:val="22"/>
          <w14:textFill>
            <w14:solidFill>
              <w14:schemeClr w14:val="tx1"/>
            </w14:solidFill>
          </w14:textFill>
        </w:rPr>
        <w:t>投标费用</w:t>
      </w:r>
    </w:p>
    <w:p>
      <w:pPr>
        <w:spacing w:line="460" w:lineRule="exact"/>
        <w:ind w:left="538" w:leftChars="256"/>
        <w:rPr>
          <w:rFonts w:ascii="宋体" w:hAnsi="宋体"/>
          <w:color w:val="000000" w:themeColor="text1"/>
          <w:sz w:val="22"/>
          <w:szCs w:val="22"/>
          <w14:textFill>
            <w14:solidFill>
              <w14:schemeClr w14:val="tx1"/>
            </w14:solidFill>
          </w14:textFill>
        </w:rPr>
      </w:pPr>
      <w:r>
        <w:rPr>
          <w:rFonts w:hint="eastAsia" w:ascii="宋体" w:hAnsi="宋体" w:cs="Arial"/>
          <w:color w:val="000000" w:themeColor="text1"/>
          <w:sz w:val="22"/>
          <w:szCs w:val="22"/>
          <w14:textFill>
            <w14:solidFill>
              <w14:schemeClr w14:val="tx1"/>
            </w14:solidFill>
          </w14:textFill>
        </w:rPr>
        <w:t>投标人应承担所有与准备和参加投标有关费用，不论投标的结果如何，招标人和招标代理机构均无义务和责任承担这些费用。</w:t>
      </w:r>
    </w:p>
    <w:p>
      <w:pPr>
        <w:spacing w:before="100" w:beforeAutospacing="1" w:after="100" w:afterAutospacing="1" w:line="440" w:lineRule="exact"/>
        <w:jc w:val="center"/>
        <w:outlineLvl w:val="0"/>
        <w:rPr>
          <w:rFonts w:ascii="宋体" w:hAnsi="宋体"/>
          <w:b/>
          <w:bCs/>
          <w:color w:val="000000" w:themeColor="text1"/>
          <w:sz w:val="26"/>
          <w:szCs w:val="26"/>
          <w14:textFill>
            <w14:solidFill>
              <w14:schemeClr w14:val="tx1"/>
            </w14:solidFill>
          </w14:textFill>
        </w:rPr>
      </w:pPr>
      <w:bookmarkStart w:id="46" w:name="_Toc221374624"/>
      <w:bookmarkStart w:id="47" w:name="_Toc222114877"/>
      <w:bookmarkStart w:id="48" w:name="_Toc221356884"/>
      <w:bookmarkStart w:id="49" w:name="_Toc245191312"/>
      <w:bookmarkStart w:id="50" w:name="_Toc221423617"/>
      <w:bookmarkStart w:id="51" w:name="_Toc249758710"/>
      <w:bookmarkStart w:id="52" w:name="_Toc221356949"/>
      <w:bookmarkStart w:id="53" w:name="_Toc239145352"/>
      <w:bookmarkStart w:id="54" w:name="_Toc262049416"/>
      <w:bookmarkStart w:id="55" w:name="_Toc246261263"/>
      <w:bookmarkStart w:id="56" w:name="_Toc241404200"/>
      <w:bookmarkStart w:id="57" w:name="_Toc249758862"/>
      <w:bookmarkStart w:id="58" w:name="_Toc245722279"/>
      <w:bookmarkStart w:id="59" w:name="_Toc382360957"/>
      <w:bookmarkStart w:id="60" w:name="_Toc262105501"/>
      <w:bookmarkStart w:id="61" w:name="_Toc223715996"/>
      <w:r>
        <w:rPr>
          <w:rFonts w:hint="eastAsia" w:ascii="宋体" w:hAnsi="宋体"/>
          <w:b/>
          <w:bCs/>
          <w:color w:val="000000" w:themeColor="text1"/>
          <w:sz w:val="26"/>
          <w:szCs w:val="26"/>
          <w14:textFill>
            <w14:solidFill>
              <w14:schemeClr w14:val="tx1"/>
            </w14:solidFill>
          </w14:textFill>
        </w:rPr>
        <w:t>二、 招标文件</w:t>
      </w: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p>
    <w:p>
      <w:pPr>
        <w:numPr>
          <w:ilvl w:val="0"/>
          <w:numId w:val="5"/>
        </w:numPr>
        <w:tabs>
          <w:tab w:val="left" w:pos="540"/>
          <w:tab w:val="clear" w:pos="420"/>
        </w:tabs>
        <w:spacing w:line="460" w:lineRule="exact"/>
        <w:ind w:left="540" w:hanging="540"/>
        <w:rPr>
          <w:rFonts w:ascii="宋体" w:hAnsi="宋体" w:cs="Arial"/>
          <w:color w:val="000000" w:themeColor="text1"/>
          <w:sz w:val="22"/>
          <w:szCs w:val="22"/>
          <w14:textFill>
            <w14:solidFill>
              <w14:schemeClr w14:val="tx1"/>
            </w14:solidFill>
          </w14:textFill>
        </w:rPr>
      </w:pPr>
      <w:r>
        <w:rPr>
          <w:rFonts w:hint="eastAsia" w:ascii="宋体" w:hAnsi="宋体" w:cs="Arial"/>
          <w:color w:val="000000" w:themeColor="text1"/>
          <w:sz w:val="22"/>
          <w:szCs w:val="22"/>
          <w14:textFill>
            <w14:solidFill>
              <w14:schemeClr w14:val="tx1"/>
            </w14:solidFill>
          </w14:textFill>
        </w:rPr>
        <w:t>招标文件由招标文件目录所列内容及相关资料组成。</w:t>
      </w:r>
    </w:p>
    <w:p>
      <w:pPr>
        <w:numPr>
          <w:ilvl w:val="0"/>
          <w:numId w:val="5"/>
        </w:numPr>
        <w:tabs>
          <w:tab w:val="left" w:pos="540"/>
          <w:tab w:val="clear" w:pos="420"/>
        </w:tabs>
        <w:spacing w:line="460" w:lineRule="exact"/>
        <w:ind w:left="540" w:hanging="540"/>
        <w:rPr>
          <w:rFonts w:ascii="宋体" w:hAnsi="宋体" w:cs="Arial"/>
          <w:color w:val="000000" w:themeColor="text1"/>
          <w:sz w:val="22"/>
          <w:szCs w:val="22"/>
          <w14:textFill>
            <w14:solidFill>
              <w14:schemeClr w14:val="tx1"/>
            </w14:solidFill>
          </w14:textFill>
        </w:rPr>
      </w:pPr>
      <w:r>
        <w:rPr>
          <w:rFonts w:hint="eastAsia" w:ascii="宋体" w:hAnsi="宋体" w:cs="Arial"/>
          <w:color w:val="000000" w:themeColor="text1"/>
          <w:sz w:val="22"/>
          <w:szCs w:val="22"/>
          <w14:textFill>
            <w14:solidFill>
              <w14:schemeClr w14:val="tx1"/>
            </w14:solidFill>
          </w14:textFill>
        </w:rPr>
        <w:t>招标文件的澄清</w:t>
      </w:r>
    </w:p>
    <w:p>
      <w:pPr>
        <w:numPr>
          <w:ilvl w:val="1"/>
          <w:numId w:val="5"/>
        </w:numPr>
        <w:tabs>
          <w:tab w:val="left" w:pos="540"/>
          <w:tab w:val="clear" w:pos="360"/>
        </w:tabs>
        <w:spacing w:line="460" w:lineRule="exact"/>
        <w:ind w:left="540" w:hanging="431"/>
        <w:rPr>
          <w:rFonts w:ascii="宋体" w:hAnsi="宋体"/>
          <w:color w:val="000000" w:themeColor="text1"/>
          <w:spacing w:val="6"/>
          <w:sz w:val="22"/>
          <w:szCs w:val="22"/>
          <w14:textFill>
            <w14:solidFill>
              <w14:schemeClr w14:val="tx1"/>
            </w14:solidFill>
          </w14:textFill>
        </w:rPr>
      </w:pPr>
      <w:r>
        <w:rPr>
          <w:rFonts w:hint="eastAsia" w:ascii="宋体" w:hAnsi="宋体" w:cs="Arial"/>
          <w:color w:val="000000" w:themeColor="text1"/>
          <w:sz w:val="22"/>
          <w:szCs w:val="22"/>
          <w14:textFill>
            <w14:solidFill>
              <w14:schemeClr w14:val="tx1"/>
            </w14:solidFill>
          </w14:textFill>
        </w:rPr>
        <w:t>投标人对招标文件如有疑点或未尽事宜要求澄清，或认为有必要进行说明或交流，投标人</w:t>
      </w:r>
      <w:r>
        <w:rPr>
          <w:rFonts w:hint="eastAsia" w:ascii="宋体" w:hAnsi="宋体" w:cs="Arial"/>
          <w:color w:val="000000" w:themeColor="text1"/>
          <w:spacing w:val="6"/>
          <w:sz w:val="22"/>
          <w:szCs w:val="22"/>
          <w14:textFill>
            <w14:solidFill>
              <w14:schemeClr w14:val="tx1"/>
            </w14:solidFill>
          </w14:textFill>
        </w:rPr>
        <w:t>可以在知道或应知其权益受到损害之日起3个工作日内，以书面形式（包括信函、传真、下同）向招标人提出质疑，但质疑不得迟于投标截止时间3个工作日前使招标人收到，招标人将用书面形式予以答复。如有必要，可将不说明问题来源的答复发给各有关投标人或召开答疑会。如果标书答疑期内未收到有关疑问，视为投标人完全同意</w:t>
      </w:r>
      <w:r>
        <w:rPr>
          <w:rFonts w:hint="eastAsia" w:ascii="宋体" w:hAnsi="宋体"/>
          <w:color w:val="000000" w:themeColor="text1"/>
          <w:spacing w:val="6"/>
          <w:sz w:val="22"/>
          <w:szCs w:val="22"/>
          <w14:textFill>
            <w14:solidFill>
              <w14:schemeClr w14:val="tx1"/>
            </w14:solidFill>
          </w14:textFill>
        </w:rPr>
        <w:t>招标文件所有条款，且对于招标文件相关表述以及未尽事宜如有争议，以招标人解释为准。</w:t>
      </w:r>
    </w:p>
    <w:p>
      <w:pPr>
        <w:numPr>
          <w:ilvl w:val="0"/>
          <w:numId w:val="5"/>
        </w:numPr>
        <w:tabs>
          <w:tab w:val="left" w:pos="540"/>
          <w:tab w:val="clear" w:pos="420"/>
        </w:tabs>
        <w:spacing w:line="460" w:lineRule="exact"/>
        <w:ind w:left="540" w:hanging="540"/>
        <w:rPr>
          <w:rFonts w:ascii="宋体" w:hAnsi="宋体" w:cs="Arial"/>
          <w:color w:val="000000" w:themeColor="text1"/>
          <w:sz w:val="22"/>
          <w:szCs w:val="22"/>
          <w14:textFill>
            <w14:solidFill>
              <w14:schemeClr w14:val="tx1"/>
            </w14:solidFill>
          </w14:textFill>
        </w:rPr>
      </w:pPr>
      <w:r>
        <w:rPr>
          <w:rFonts w:hint="eastAsia" w:ascii="宋体" w:hAnsi="宋体" w:cs="Arial"/>
          <w:color w:val="000000" w:themeColor="text1"/>
          <w:sz w:val="22"/>
          <w:szCs w:val="22"/>
          <w14:textFill>
            <w14:solidFill>
              <w14:schemeClr w14:val="tx1"/>
            </w14:solidFill>
          </w14:textFill>
        </w:rPr>
        <w:t>招标文件的修改</w:t>
      </w:r>
    </w:p>
    <w:p>
      <w:pPr>
        <w:numPr>
          <w:ilvl w:val="1"/>
          <w:numId w:val="6"/>
        </w:numPr>
        <w:tabs>
          <w:tab w:val="left" w:pos="360"/>
          <w:tab w:val="clear" w:pos="992"/>
        </w:tabs>
        <w:spacing w:line="460" w:lineRule="exact"/>
        <w:ind w:left="360" w:hanging="360"/>
        <w:rPr>
          <w:rFonts w:ascii="宋体" w:hAnsi="宋体" w:cs="Arial"/>
          <w:color w:val="000000" w:themeColor="text1"/>
          <w:sz w:val="22"/>
          <w:szCs w:val="22"/>
          <w14:textFill>
            <w14:solidFill>
              <w14:schemeClr w14:val="tx1"/>
            </w14:solidFill>
          </w14:textFill>
        </w:rPr>
      </w:pPr>
      <w:r>
        <w:rPr>
          <w:rFonts w:hint="eastAsia" w:ascii="宋体" w:hAnsi="宋体" w:cs="Arial"/>
          <w:b/>
          <w:color w:val="000000" w:themeColor="text1"/>
          <w:sz w:val="22"/>
          <w:szCs w:val="22"/>
          <w14:textFill>
            <w14:solidFill>
              <w14:schemeClr w14:val="tx1"/>
            </w14:solidFill>
          </w14:textFill>
        </w:rPr>
        <w:t>在投标截止期三个工作日前，招标人无论是出于何种原因，均可对招标文件用补充文件的方式进行修改，并在采购指定信息发布媒体上发布更正公告。该澄清和修改的内容为招标文件的组成部分。招标人可以视采购具体情况在招标文件要求提交截止时间三个工作日前，作出延长投标截止时间和开标时间的决定，并将变更时间书面通知所有招标文件收受人，并在采购指定信息发布媒体上发布变更公告。</w:t>
      </w:r>
    </w:p>
    <w:p>
      <w:pPr>
        <w:numPr>
          <w:ilvl w:val="1"/>
          <w:numId w:val="6"/>
        </w:numPr>
        <w:tabs>
          <w:tab w:val="left" w:pos="360"/>
          <w:tab w:val="clear" w:pos="992"/>
        </w:tabs>
        <w:spacing w:line="460" w:lineRule="exact"/>
        <w:ind w:left="360" w:hanging="360"/>
        <w:rPr>
          <w:rFonts w:ascii="宋体" w:hAnsi="宋体" w:cs="Arial"/>
          <w:color w:val="000000" w:themeColor="text1"/>
          <w:sz w:val="22"/>
          <w:szCs w:val="22"/>
          <w14:textFill>
            <w14:solidFill>
              <w14:schemeClr w14:val="tx1"/>
            </w14:solidFill>
          </w14:textFill>
        </w:rPr>
      </w:pPr>
      <w:r>
        <w:rPr>
          <w:rFonts w:hint="eastAsia" w:ascii="宋体" w:hAnsi="宋体" w:cs="Arial"/>
          <w:color w:val="000000" w:themeColor="text1"/>
          <w:sz w:val="22"/>
          <w:szCs w:val="22"/>
          <w14:textFill>
            <w14:solidFill>
              <w14:schemeClr w14:val="tx1"/>
            </w14:solidFill>
          </w14:textFill>
        </w:rPr>
        <w:t>投标人收到澄清和修改的补充文件，应立即以书面形式回复确认已收到补充文件。</w:t>
      </w:r>
    </w:p>
    <w:p>
      <w:pPr>
        <w:spacing w:before="100" w:beforeAutospacing="1" w:after="100" w:afterAutospacing="1" w:line="440" w:lineRule="exact"/>
        <w:jc w:val="center"/>
        <w:outlineLvl w:val="0"/>
        <w:rPr>
          <w:rFonts w:ascii="宋体" w:hAnsi="宋体"/>
          <w:b/>
          <w:bCs/>
          <w:color w:val="000000" w:themeColor="text1"/>
          <w:sz w:val="26"/>
          <w:szCs w:val="26"/>
          <w14:textFill>
            <w14:solidFill>
              <w14:schemeClr w14:val="tx1"/>
            </w14:solidFill>
          </w14:textFill>
        </w:rPr>
      </w:pPr>
      <w:bookmarkStart w:id="62" w:name="_Toc221374625"/>
      <w:bookmarkStart w:id="63" w:name="_Toc245722280"/>
      <w:bookmarkStart w:id="64" w:name="_Toc221356885"/>
      <w:bookmarkStart w:id="65" w:name="_Toc221423618"/>
      <w:bookmarkStart w:id="66" w:name="_Toc246261264"/>
      <w:bookmarkStart w:id="67" w:name="_Toc249758711"/>
      <w:bookmarkStart w:id="68" w:name="_Toc223715997"/>
      <w:bookmarkStart w:id="69" w:name="_Toc382360958"/>
      <w:bookmarkStart w:id="70" w:name="_Toc222114878"/>
      <w:bookmarkStart w:id="71" w:name="_Toc262105502"/>
      <w:bookmarkStart w:id="72" w:name="_Toc249758863"/>
      <w:bookmarkStart w:id="73" w:name="_Toc245191313"/>
      <w:bookmarkStart w:id="74" w:name="_Toc239145353"/>
      <w:bookmarkStart w:id="75" w:name="_Toc241404201"/>
      <w:bookmarkStart w:id="76" w:name="_Toc221356950"/>
      <w:bookmarkStart w:id="77" w:name="_Toc262049417"/>
      <w:r>
        <w:rPr>
          <w:rFonts w:hint="eastAsia" w:ascii="宋体" w:hAnsi="宋体"/>
          <w:b/>
          <w:bCs/>
          <w:color w:val="000000" w:themeColor="text1"/>
          <w:sz w:val="26"/>
          <w:szCs w:val="26"/>
          <w14:textFill>
            <w14:solidFill>
              <w14:schemeClr w14:val="tx1"/>
            </w14:solidFill>
          </w14:textFill>
        </w:rPr>
        <w:t>三、 投标文件的编制</w:t>
      </w:r>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p>
    <w:p>
      <w:pPr>
        <w:numPr>
          <w:ilvl w:val="0"/>
          <w:numId w:val="7"/>
        </w:numPr>
        <w:tabs>
          <w:tab w:val="left" w:pos="540"/>
          <w:tab w:val="clear" w:pos="420"/>
        </w:tabs>
        <w:spacing w:line="460" w:lineRule="exact"/>
        <w:ind w:left="540" w:hanging="540"/>
        <w:rPr>
          <w:rFonts w:ascii="宋体" w:hAnsi="宋体"/>
          <w:color w:val="000000" w:themeColor="text1"/>
          <w:sz w:val="22"/>
          <w:szCs w:val="22"/>
          <w14:textFill>
            <w14:solidFill>
              <w14:schemeClr w14:val="tx1"/>
            </w14:solidFill>
          </w14:textFill>
        </w:rPr>
      </w:pPr>
      <w:r>
        <w:rPr>
          <w:rFonts w:hint="eastAsia" w:ascii="宋体" w:hAnsi="宋体" w:cs="Arial"/>
          <w:color w:val="000000" w:themeColor="text1"/>
          <w:sz w:val="22"/>
          <w:szCs w:val="22"/>
          <w14:textFill>
            <w14:solidFill>
              <w14:schemeClr w14:val="tx1"/>
            </w14:solidFill>
          </w14:textFill>
        </w:rPr>
        <w:t>投标人应认真阅读招标文件中所有事项格式、条款和技术规范等。</w:t>
      </w:r>
      <w:r>
        <w:rPr>
          <w:rFonts w:hint="eastAsia" w:ascii="宋体" w:hAnsi="宋体" w:cs="Arial"/>
          <w:b/>
          <w:color w:val="000000" w:themeColor="text1"/>
          <w:sz w:val="22"/>
          <w:szCs w:val="22"/>
          <w14:textFill>
            <w14:solidFill>
              <w14:schemeClr w14:val="tx1"/>
            </w14:solidFill>
          </w14:textFill>
        </w:rPr>
        <w:t>投标人没有按照招标文件要求提交全部资料，或者没有对招标文件各个方面做出实质性响应，导致投标被拒绝的风险由投标人自行承担。</w:t>
      </w:r>
    </w:p>
    <w:p>
      <w:pPr>
        <w:numPr>
          <w:ilvl w:val="0"/>
          <w:numId w:val="7"/>
        </w:numPr>
        <w:tabs>
          <w:tab w:val="left" w:pos="540"/>
          <w:tab w:val="clear" w:pos="420"/>
        </w:tabs>
        <w:spacing w:line="460" w:lineRule="exact"/>
        <w:ind w:left="540" w:hanging="540"/>
        <w:rPr>
          <w:rFonts w:ascii="宋体" w:hAnsi="宋体" w:cs="Arial"/>
          <w:bCs/>
          <w:color w:val="000000" w:themeColor="text1"/>
          <w:sz w:val="22"/>
          <w:szCs w:val="22"/>
          <w14:textFill>
            <w14:solidFill>
              <w14:schemeClr w14:val="tx1"/>
            </w14:solidFill>
          </w14:textFill>
        </w:rPr>
      </w:pPr>
      <w:r>
        <w:rPr>
          <w:rFonts w:hint="eastAsia" w:ascii="宋体" w:hAnsi="宋体" w:cs="Arial"/>
          <w:bCs/>
          <w:color w:val="000000" w:themeColor="text1"/>
          <w:sz w:val="22"/>
          <w:szCs w:val="22"/>
          <w14:textFill>
            <w14:solidFill>
              <w14:schemeClr w14:val="tx1"/>
            </w14:solidFill>
          </w14:textFill>
        </w:rPr>
        <w:t>投标人法律责任</w:t>
      </w:r>
    </w:p>
    <w:p>
      <w:pPr>
        <w:numPr>
          <w:ilvl w:val="1"/>
          <w:numId w:val="8"/>
        </w:numPr>
        <w:tabs>
          <w:tab w:val="left" w:pos="540"/>
          <w:tab w:val="clear" w:pos="992"/>
        </w:tabs>
        <w:spacing w:line="460" w:lineRule="exact"/>
        <w:ind w:left="540" w:hanging="540"/>
        <w:rPr>
          <w:rFonts w:ascii="宋体" w:hAnsi="宋体" w:cs="Arial"/>
          <w:b/>
          <w:color w:val="000000" w:themeColor="text1"/>
          <w:sz w:val="22"/>
          <w:szCs w:val="22"/>
          <w14:textFill>
            <w14:solidFill>
              <w14:schemeClr w14:val="tx1"/>
            </w14:solidFill>
          </w14:textFill>
        </w:rPr>
      </w:pPr>
      <w:r>
        <w:rPr>
          <w:rFonts w:hint="eastAsia" w:ascii="宋体" w:hAnsi="宋体" w:cs="Arial"/>
          <w:b/>
          <w:color w:val="000000" w:themeColor="text1"/>
          <w:sz w:val="22"/>
          <w:szCs w:val="22"/>
          <w14:textFill>
            <w14:solidFill>
              <w14:schemeClr w14:val="tx1"/>
            </w14:solidFill>
          </w14:textFill>
        </w:rPr>
        <w:t>投标人应保证所提供文件资料的真实性，所有文件资料必须是针对本次投标的。如发现投标人提供了虚假文件资料，其投标将被拒绝，并自行承担相应的法律责任。</w:t>
      </w:r>
    </w:p>
    <w:p>
      <w:pPr>
        <w:numPr>
          <w:ilvl w:val="0"/>
          <w:numId w:val="7"/>
        </w:numPr>
        <w:tabs>
          <w:tab w:val="left" w:pos="540"/>
          <w:tab w:val="clear" w:pos="420"/>
        </w:tabs>
        <w:spacing w:line="460" w:lineRule="exact"/>
        <w:ind w:left="540" w:hanging="540"/>
        <w:rPr>
          <w:rFonts w:ascii="宋体" w:hAnsi="宋体"/>
          <w:bCs/>
          <w:color w:val="000000" w:themeColor="text1"/>
          <w:sz w:val="22"/>
          <w:szCs w:val="22"/>
          <w14:textFill>
            <w14:solidFill>
              <w14:schemeClr w14:val="tx1"/>
            </w14:solidFill>
          </w14:textFill>
        </w:rPr>
      </w:pPr>
      <w:r>
        <w:rPr>
          <w:rFonts w:hint="eastAsia" w:ascii="宋体" w:hAnsi="宋体"/>
          <w:bCs/>
          <w:color w:val="000000" w:themeColor="text1"/>
          <w:sz w:val="22"/>
          <w:szCs w:val="22"/>
          <w14:textFill>
            <w14:solidFill>
              <w14:schemeClr w14:val="tx1"/>
            </w14:solidFill>
          </w14:textFill>
        </w:rPr>
        <w:t>投标文件的构成：</w:t>
      </w:r>
    </w:p>
    <w:p>
      <w:pPr>
        <w:numPr>
          <w:ilvl w:val="1"/>
          <w:numId w:val="9"/>
        </w:numPr>
        <w:tabs>
          <w:tab w:val="left" w:pos="360"/>
          <w:tab w:val="clear" w:pos="992"/>
        </w:tabs>
        <w:spacing w:line="460" w:lineRule="exact"/>
        <w:ind w:left="360" w:hanging="360"/>
        <w:rPr>
          <w:rFonts w:ascii="宋体" w:hAnsi="宋体" w:cs="Arial"/>
          <w:b/>
          <w:color w:val="000000" w:themeColor="text1"/>
          <w:sz w:val="22"/>
          <w:szCs w:val="22"/>
          <w14:textFill>
            <w14:solidFill>
              <w14:schemeClr w14:val="tx1"/>
            </w14:solidFill>
          </w14:textFill>
        </w:rPr>
      </w:pPr>
      <w:r>
        <w:rPr>
          <w:rFonts w:hint="eastAsia" w:ascii="宋体" w:hAnsi="宋体" w:cs="Arial"/>
          <w:b/>
          <w:color w:val="000000" w:themeColor="text1"/>
          <w:sz w:val="22"/>
          <w:szCs w:val="22"/>
          <w14:textFill>
            <w14:solidFill>
              <w14:schemeClr w14:val="tx1"/>
            </w14:solidFill>
          </w14:textFill>
        </w:rPr>
        <w:t xml:space="preserve">  投标文件由技术资信标和商务标构成：</w:t>
      </w:r>
    </w:p>
    <w:p>
      <w:pPr>
        <w:numPr>
          <w:ilvl w:val="0"/>
          <w:numId w:val="10"/>
        </w:numPr>
        <w:spacing w:line="400" w:lineRule="exact"/>
        <w:rPr>
          <w:rFonts w:ascii="宋体" w:hAnsi="宋体"/>
          <w:b/>
          <w:color w:val="000000" w:themeColor="text1"/>
          <w:sz w:val="22"/>
          <w:szCs w:val="22"/>
          <w14:textFill>
            <w14:solidFill>
              <w14:schemeClr w14:val="tx1"/>
            </w14:solidFill>
          </w14:textFill>
        </w:rPr>
      </w:pPr>
      <w:r>
        <w:rPr>
          <w:rFonts w:hint="eastAsia" w:ascii="宋体" w:hAnsi="宋体"/>
          <w:b/>
          <w:color w:val="000000" w:themeColor="text1"/>
          <w:sz w:val="22"/>
          <w:szCs w:val="22"/>
          <w14:textFill>
            <w14:solidFill>
              <w14:schemeClr w14:val="tx1"/>
            </w14:solidFill>
          </w14:textFill>
        </w:rPr>
        <w:t>技术资信标</w:t>
      </w:r>
    </w:p>
    <w:tbl>
      <w:tblPr>
        <w:tblStyle w:val="30"/>
        <w:tblW w:w="9639"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7654"/>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51" w:type="dxa"/>
            <w:vAlign w:val="center"/>
          </w:tcPr>
          <w:p>
            <w:pPr>
              <w:jc w:val="center"/>
              <w:rPr>
                <w:rFonts w:ascii="宋体" w:hAnsi="宋体"/>
                <w:b/>
                <w:color w:val="000000" w:themeColor="text1"/>
                <w:sz w:val="22"/>
                <w:szCs w:val="22"/>
                <w14:textFill>
                  <w14:solidFill>
                    <w14:schemeClr w14:val="tx1"/>
                  </w14:solidFill>
                </w14:textFill>
              </w:rPr>
            </w:pPr>
            <w:r>
              <w:rPr>
                <w:rFonts w:hint="eastAsia" w:ascii="宋体" w:hAnsi="宋体"/>
                <w:b/>
                <w:color w:val="000000" w:themeColor="text1"/>
                <w:sz w:val="22"/>
                <w:szCs w:val="22"/>
                <w14:textFill>
                  <w14:solidFill>
                    <w14:schemeClr w14:val="tx1"/>
                  </w14:solidFill>
                </w14:textFill>
              </w:rPr>
              <w:t>序号</w:t>
            </w:r>
          </w:p>
        </w:tc>
        <w:tc>
          <w:tcPr>
            <w:tcW w:w="7654" w:type="dxa"/>
            <w:vAlign w:val="center"/>
          </w:tcPr>
          <w:p>
            <w:pPr>
              <w:jc w:val="center"/>
              <w:rPr>
                <w:rFonts w:ascii="宋体" w:hAnsi="宋体"/>
                <w:b/>
                <w:color w:val="000000" w:themeColor="text1"/>
                <w:sz w:val="22"/>
                <w:szCs w:val="22"/>
                <w14:textFill>
                  <w14:solidFill>
                    <w14:schemeClr w14:val="tx1"/>
                  </w14:solidFill>
                </w14:textFill>
              </w:rPr>
            </w:pPr>
            <w:r>
              <w:rPr>
                <w:rFonts w:hint="eastAsia" w:ascii="宋体" w:hAnsi="宋体"/>
                <w:b/>
                <w:color w:val="000000" w:themeColor="text1"/>
                <w:sz w:val="22"/>
                <w:szCs w:val="22"/>
                <w14:textFill>
                  <w14:solidFill>
                    <w14:schemeClr w14:val="tx1"/>
                  </w14:solidFill>
                </w14:textFill>
              </w:rPr>
              <w:t>内容</w:t>
            </w:r>
          </w:p>
        </w:tc>
        <w:tc>
          <w:tcPr>
            <w:tcW w:w="1134" w:type="dxa"/>
            <w:vAlign w:val="center"/>
          </w:tcPr>
          <w:p>
            <w:pPr>
              <w:jc w:val="center"/>
              <w:rPr>
                <w:rFonts w:ascii="宋体" w:hAnsi="宋体"/>
                <w:b/>
                <w:color w:val="000000" w:themeColor="text1"/>
                <w:sz w:val="22"/>
                <w:szCs w:val="22"/>
                <w14:textFill>
                  <w14:solidFill>
                    <w14:schemeClr w14:val="tx1"/>
                  </w14:solidFill>
                </w14:textFill>
              </w:rPr>
            </w:pPr>
            <w:r>
              <w:rPr>
                <w:rFonts w:hint="eastAsia" w:ascii="宋体" w:hAnsi="宋体"/>
                <w:b/>
                <w:color w:val="000000" w:themeColor="text1"/>
                <w:sz w:val="22"/>
                <w:szCs w:val="22"/>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51" w:type="dxa"/>
            <w:vAlign w:val="center"/>
          </w:tcPr>
          <w:p>
            <w:pPr>
              <w:jc w:val="center"/>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1)</w:t>
            </w:r>
          </w:p>
        </w:tc>
        <w:tc>
          <w:tcPr>
            <w:tcW w:w="7654" w:type="dxa"/>
            <w:vAlign w:val="center"/>
          </w:tcPr>
          <w:p>
            <w:pPr>
              <w:rPr>
                <w:rFonts w:ascii="宋体" w:hAnsi="宋体"/>
                <w:b/>
                <w:color w:val="000000" w:themeColor="text1"/>
                <w:sz w:val="22"/>
                <w:szCs w:val="22"/>
                <w14:textFill>
                  <w14:solidFill>
                    <w14:schemeClr w14:val="tx1"/>
                  </w14:solidFill>
                </w14:textFill>
              </w:rPr>
            </w:pPr>
            <w:r>
              <w:rPr>
                <w:rFonts w:hint="eastAsia" w:ascii="宋体" w:hAnsi="宋体" w:cs="Arial"/>
                <w:color w:val="000000" w:themeColor="text1"/>
                <w:sz w:val="22"/>
                <w:szCs w:val="22"/>
                <w14:textFill>
                  <w14:solidFill>
                    <w14:schemeClr w14:val="tx1"/>
                  </w14:solidFill>
                </w14:textFill>
              </w:rPr>
              <w:t>投标函</w:t>
            </w:r>
          </w:p>
        </w:tc>
        <w:tc>
          <w:tcPr>
            <w:tcW w:w="1134" w:type="dxa"/>
            <w:vAlign w:val="center"/>
          </w:tcPr>
          <w:p>
            <w:pPr>
              <w:jc w:val="center"/>
              <w:rPr>
                <w:rFonts w:ascii="宋体" w:hAnsi="宋体"/>
                <w:b/>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附件一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51" w:type="dxa"/>
            <w:vAlign w:val="center"/>
          </w:tcPr>
          <w:p>
            <w:pPr>
              <w:jc w:val="center"/>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2)</w:t>
            </w:r>
          </w:p>
        </w:tc>
        <w:tc>
          <w:tcPr>
            <w:tcW w:w="7654" w:type="dxa"/>
            <w:vAlign w:val="center"/>
          </w:tcPr>
          <w:p>
            <w:pPr>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技术规格、商务条款偏离表</w:t>
            </w:r>
          </w:p>
        </w:tc>
        <w:tc>
          <w:tcPr>
            <w:tcW w:w="1134" w:type="dxa"/>
            <w:vAlign w:val="center"/>
          </w:tcPr>
          <w:p>
            <w:pPr>
              <w:jc w:val="center"/>
              <w:rPr>
                <w:rFonts w:ascii="宋体" w:hAnsi="宋体"/>
                <w:b/>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附件四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51" w:type="dxa"/>
            <w:vAlign w:val="center"/>
          </w:tcPr>
          <w:p>
            <w:pPr>
              <w:jc w:val="center"/>
              <w:rPr>
                <w:rFonts w:hint="default" w:ascii="宋体" w:hAnsi="宋体" w:eastAsia="宋体"/>
                <w:color w:val="000000" w:themeColor="text1"/>
                <w:sz w:val="22"/>
                <w:szCs w:val="22"/>
                <w:lang w:val="en-US" w:eastAsia="zh-CN"/>
                <w14:textFill>
                  <w14:solidFill>
                    <w14:schemeClr w14:val="tx1"/>
                  </w14:solidFill>
                </w14:textFill>
              </w:rPr>
            </w:pPr>
            <w:r>
              <w:rPr>
                <w:rFonts w:hint="eastAsia" w:ascii="宋体" w:hAnsi="宋体"/>
                <w:color w:val="000000" w:themeColor="text1"/>
                <w:sz w:val="22"/>
                <w:szCs w:val="22"/>
                <w:lang w:val="en-US" w:eastAsia="zh-CN"/>
                <w14:textFill>
                  <w14:solidFill>
                    <w14:schemeClr w14:val="tx1"/>
                  </w14:solidFill>
                </w14:textFill>
              </w:rPr>
              <w:t>3)</w:t>
            </w:r>
          </w:p>
        </w:tc>
        <w:tc>
          <w:tcPr>
            <w:tcW w:w="7654" w:type="dxa"/>
            <w:vAlign w:val="center"/>
          </w:tcPr>
          <w:p>
            <w:pPr>
              <w:tabs>
                <w:tab w:val="left" w:pos="5355"/>
              </w:tabs>
              <w:rPr>
                <w:rFonts w:hint="eastAsia" w:ascii="宋体" w:hAnsi="宋体" w:eastAsia="宋体"/>
                <w:color w:val="000000" w:themeColor="text1"/>
                <w:sz w:val="22"/>
                <w:szCs w:val="22"/>
                <w:lang w:val="en-US" w:eastAsia="zh-CN"/>
                <w14:textFill>
                  <w14:solidFill>
                    <w14:schemeClr w14:val="tx1"/>
                  </w14:solidFill>
                </w14:textFill>
              </w:rPr>
            </w:pPr>
            <w:r>
              <w:rPr>
                <w:rFonts w:hint="eastAsia" w:ascii="宋体" w:hAnsi="宋体"/>
                <w:color w:val="000000" w:themeColor="text1"/>
                <w:sz w:val="22"/>
                <w:szCs w:val="22"/>
                <w:lang w:val="en-US" w:eastAsia="zh-CN"/>
                <w14:textFill>
                  <w14:solidFill>
                    <w14:schemeClr w14:val="tx1"/>
                  </w14:solidFill>
                </w14:textFill>
              </w:rPr>
              <w:t>投标人资质</w:t>
            </w:r>
          </w:p>
        </w:tc>
        <w:tc>
          <w:tcPr>
            <w:tcW w:w="1134" w:type="dxa"/>
            <w:vAlign w:val="center"/>
          </w:tcPr>
          <w:p>
            <w:pPr>
              <w:jc w:val="center"/>
              <w:rPr>
                <w:rFonts w:hint="eastAsia" w:ascii="宋体" w:hAnsi="宋体"/>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51" w:type="dxa"/>
            <w:vAlign w:val="center"/>
          </w:tcPr>
          <w:p>
            <w:pPr>
              <w:jc w:val="center"/>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a)</w:t>
            </w:r>
          </w:p>
        </w:tc>
        <w:tc>
          <w:tcPr>
            <w:tcW w:w="7654" w:type="dxa"/>
            <w:vAlign w:val="center"/>
          </w:tcPr>
          <w:p>
            <w:pPr>
              <w:tabs>
                <w:tab w:val="left" w:pos="5355"/>
              </w:tabs>
              <w:rPr>
                <w:rFonts w:ascii="宋体" w:hAnsi="宋体"/>
                <w:b/>
                <w:bCs/>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法定代表人授权书</w:t>
            </w:r>
          </w:p>
        </w:tc>
        <w:tc>
          <w:tcPr>
            <w:tcW w:w="1134" w:type="dxa"/>
            <w:vAlign w:val="center"/>
          </w:tcPr>
          <w:p>
            <w:pPr>
              <w:jc w:val="center"/>
              <w:rPr>
                <w:rFonts w:ascii="宋体" w:hAnsi="宋体"/>
                <w:b/>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附件五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51" w:type="dxa"/>
            <w:vAlign w:val="center"/>
          </w:tcPr>
          <w:p>
            <w:pPr>
              <w:jc w:val="center"/>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b)</w:t>
            </w:r>
          </w:p>
        </w:tc>
        <w:tc>
          <w:tcPr>
            <w:tcW w:w="7654" w:type="dxa"/>
            <w:vAlign w:val="center"/>
          </w:tcPr>
          <w:p>
            <w:pPr>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营业执照(或事业法人登记证书或其它工商等登记证明材料；实施“五证合一、一照一码”登记制度改革的，只需提供改革后取得的营业执照复印件；</w:t>
            </w:r>
          </w:p>
        </w:tc>
        <w:tc>
          <w:tcPr>
            <w:tcW w:w="1134" w:type="dxa"/>
            <w:vAlign w:val="center"/>
          </w:tcPr>
          <w:p>
            <w:pPr>
              <w:jc w:val="center"/>
              <w:rPr>
                <w:rFonts w:ascii="宋体" w:hAnsi="宋体"/>
                <w:b/>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51" w:type="dxa"/>
            <w:vAlign w:val="center"/>
          </w:tcPr>
          <w:p>
            <w:pPr>
              <w:jc w:val="center"/>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4)</w:t>
            </w:r>
          </w:p>
        </w:tc>
        <w:tc>
          <w:tcPr>
            <w:tcW w:w="7654" w:type="dxa"/>
            <w:vAlign w:val="center"/>
          </w:tcPr>
          <w:p>
            <w:pPr>
              <w:rPr>
                <w:rFonts w:ascii="宋体" w:hAnsi="宋体"/>
                <w:b/>
                <w:color w:val="000000" w:themeColor="text1"/>
                <w:sz w:val="22"/>
                <w:szCs w:val="22"/>
                <w14:textFill>
                  <w14:solidFill>
                    <w14:schemeClr w14:val="tx1"/>
                  </w14:solidFill>
                </w14:textFill>
              </w:rPr>
            </w:pPr>
            <w:r>
              <w:rPr>
                <w:rFonts w:hint="eastAsia" w:ascii="宋体" w:hAnsi="宋体"/>
                <w:b/>
                <w:color w:val="000000" w:themeColor="text1"/>
                <w:sz w:val="22"/>
                <w:szCs w:val="22"/>
                <w14:textFill>
                  <w14:solidFill>
                    <w14:schemeClr w14:val="tx1"/>
                  </w14:solidFill>
                </w14:textFill>
              </w:rPr>
              <w:t>资信证明文件（本部分为技术资信分评分内容，各投标人根据自身情况提供）</w:t>
            </w:r>
          </w:p>
        </w:tc>
        <w:tc>
          <w:tcPr>
            <w:tcW w:w="1134" w:type="dxa"/>
            <w:vAlign w:val="center"/>
          </w:tcPr>
          <w:p>
            <w:pPr>
              <w:jc w:val="center"/>
              <w:rPr>
                <w:rFonts w:ascii="宋体" w:hAnsi="宋体"/>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51" w:type="dxa"/>
            <w:vAlign w:val="center"/>
          </w:tcPr>
          <w:p>
            <w:pPr>
              <w:jc w:val="center"/>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a)</w:t>
            </w:r>
          </w:p>
        </w:tc>
        <w:tc>
          <w:tcPr>
            <w:tcW w:w="7654" w:type="dxa"/>
          </w:tcPr>
          <w:p>
            <w:pPr>
              <w:spacing w:line="400" w:lineRule="exact"/>
              <w:rPr>
                <w:rFonts w:ascii="宋体" w:hAnsi="宋体"/>
                <w:color w:val="000000" w:themeColor="text1"/>
                <w:sz w:val="22"/>
                <w:szCs w:val="22"/>
                <w14:textFill>
                  <w14:solidFill>
                    <w14:schemeClr w14:val="tx1"/>
                  </w14:solidFill>
                </w14:textFill>
              </w:rPr>
            </w:pPr>
            <w:r>
              <w:rPr>
                <w:rFonts w:hint="eastAsia" w:ascii="宋体" w:hAnsi="宋体"/>
                <w:bCs/>
                <w:color w:val="000000" w:themeColor="text1"/>
                <w:sz w:val="22"/>
                <w:szCs w:val="22"/>
                <w14:textFill>
                  <w14:solidFill>
                    <w14:schemeClr w14:val="tx1"/>
                  </w14:solidFill>
                </w14:textFill>
              </w:rPr>
              <w:t>投标人类似项目业绩</w:t>
            </w:r>
            <w:r>
              <w:rPr>
                <w:rFonts w:hint="eastAsia" w:ascii="宋体" w:hAnsi="宋体"/>
                <w:color w:val="000000" w:themeColor="text1"/>
                <w:sz w:val="22"/>
                <w:szCs w:val="22"/>
                <w14:textFill>
                  <w14:solidFill>
                    <w14:schemeClr w14:val="tx1"/>
                  </w14:solidFill>
                </w14:textFill>
              </w:rPr>
              <w:t>（须附业绩证明材料）</w:t>
            </w:r>
          </w:p>
        </w:tc>
        <w:tc>
          <w:tcPr>
            <w:tcW w:w="1134" w:type="dxa"/>
            <w:vAlign w:val="center"/>
          </w:tcPr>
          <w:p>
            <w:pPr>
              <w:jc w:val="center"/>
              <w:rPr>
                <w:rFonts w:ascii="宋体" w:hAnsi="宋体"/>
                <w:color w:val="000000" w:themeColor="text1"/>
                <w:sz w:val="22"/>
                <w:szCs w:val="22"/>
                <w14:textFill>
                  <w14:solidFill>
                    <w14:schemeClr w14:val="tx1"/>
                  </w14:solidFill>
                </w14:textFill>
              </w:rPr>
            </w:pPr>
            <w:r>
              <w:rPr>
                <w:rFonts w:hint="eastAsia" w:ascii="宋体" w:hAnsi="宋体"/>
                <w:bCs/>
                <w:color w:val="000000" w:themeColor="text1"/>
                <w:sz w:val="22"/>
                <w:szCs w:val="22"/>
                <w14:textFill>
                  <w14:solidFill>
                    <w14:schemeClr w14:val="tx1"/>
                  </w14:solidFill>
                </w14:textFill>
              </w:rPr>
              <w:t>附件七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51" w:type="dxa"/>
            <w:vAlign w:val="center"/>
          </w:tcPr>
          <w:p>
            <w:pPr>
              <w:jc w:val="center"/>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b)</w:t>
            </w:r>
          </w:p>
        </w:tc>
        <w:tc>
          <w:tcPr>
            <w:tcW w:w="7654" w:type="dxa"/>
          </w:tcPr>
          <w:p>
            <w:pPr>
              <w:spacing w:line="400" w:lineRule="exact"/>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投标人依据评分细则自行准备相应的证明材料</w:t>
            </w:r>
          </w:p>
        </w:tc>
        <w:tc>
          <w:tcPr>
            <w:tcW w:w="1134" w:type="dxa"/>
            <w:vAlign w:val="center"/>
          </w:tcPr>
          <w:p>
            <w:pPr>
              <w:jc w:val="center"/>
              <w:rPr>
                <w:rFonts w:ascii="宋体" w:hAnsi="宋体"/>
                <w:bCs/>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51" w:type="dxa"/>
            <w:vAlign w:val="center"/>
          </w:tcPr>
          <w:p>
            <w:pPr>
              <w:jc w:val="center"/>
              <w:rPr>
                <w:rFonts w:ascii="宋体" w:hAnsi="宋体"/>
                <w:color w:val="auto"/>
                <w:sz w:val="22"/>
                <w:szCs w:val="22"/>
              </w:rPr>
            </w:pPr>
            <w:r>
              <w:rPr>
                <w:rFonts w:hint="eastAsia" w:ascii="宋体" w:hAnsi="宋体"/>
                <w:color w:val="auto"/>
                <w:sz w:val="22"/>
                <w:szCs w:val="22"/>
              </w:rPr>
              <w:t>6)</w:t>
            </w:r>
          </w:p>
        </w:tc>
        <w:tc>
          <w:tcPr>
            <w:tcW w:w="7654" w:type="dxa"/>
          </w:tcPr>
          <w:p>
            <w:pPr>
              <w:spacing w:line="400" w:lineRule="exact"/>
              <w:rPr>
                <w:rFonts w:ascii="宋体" w:hAnsi="宋体"/>
                <w:bCs/>
                <w:color w:val="auto"/>
                <w:sz w:val="22"/>
                <w:szCs w:val="22"/>
              </w:rPr>
            </w:pPr>
            <w:r>
              <w:rPr>
                <w:rFonts w:hint="eastAsia" w:ascii="宋体" w:hAnsi="宋体"/>
                <w:bCs/>
                <w:color w:val="auto"/>
                <w:sz w:val="22"/>
                <w:szCs w:val="22"/>
              </w:rPr>
              <w:t>随机备品备件和专用工具清单</w:t>
            </w:r>
          </w:p>
        </w:tc>
        <w:tc>
          <w:tcPr>
            <w:tcW w:w="1134" w:type="dxa"/>
            <w:vAlign w:val="center"/>
          </w:tcPr>
          <w:p>
            <w:pPr>
              <w:jc w:val="center"/>
              <w:rPr>
                <w:rFonts w:ascii="宋体" w:hAnsi="宋体"/>
                <w:bCs/>
                <w:color w:val="auto"/>
                <w:sz w:val="22"/>
                <w:szCs w:val="22"/>
              </w:rPr>
            </w:pPr>
            <w:r>
              <w:rPr>
                <w:rFonts w:hint="eastAsia" w:ascii="宋体" w:hAnsi="宋体"/>
                <w:bCs/>
                <w:color w:val="auto"/>
                <w:sz w:val="22"/>
                <w:szCs w:val="22"/>
              </w:rPr>
              <w:t>附件六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51" w:type="dxa"/>
            <w:vAlign w:val="center"/>
          </w:tcPr>
          <w:p>
            <w:pPr>
              <w:jc w:val="center"/>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7)</w:t>
            </w:r>
          </w:p>
        </w:tc>
        <w:tc>
          <w:tcPr>
            <w:tcW w:w="7654" w:type="dxa"/>
            <w:vAlign w:val="center"/>
          </w:tcPr>
          <w:p>
            <w:pPr>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技术部分根据评分内容进行编制</w:t>
            </w:r>
          </w:p>
        </w:tc>
        <w:tc>
          <w:tcPr>
            <w:tcW w:w="1134" w:type="dxa"/>
            <w:vAlign w:val="center"/>
          </w:tcPr>
          <w:p>
            <w:pPr>
              <w:jc w:val="center"/>
              <w:rPr>
                <w:rFonts w:ascii="宋体" w:hAnsi="宋体"/>
                <w:bCs/>
                <w:color w:val="000000" w:themeColor="text1"/>
                <w:sz w:val="22"/>
                <w:szCs w:val="22"/>
                <w14:textFill>
                  <w14:solidFill>
                    <w14:schemeClr w14:val="tx1"/>
                  </w14:solidFill>
                </w14:textFill>
              </w:rPr>
            </w:pPr>
          </w:p>
        </w:tc>
      </w:tr>
    </w:tbl>
    <w:p>
      <w:pPr>
        <w:tabs>
          <w:tab w:val="left" w:pos="5355"/>
        </w:tabs>
        <w:spacing w:line="400" w:lineRule="exact"/>
        <w:ind w:left="360"/>
        <w:rPr>
          <w:rFonts w:ascii="宋体" w:hAnsi="宋体" w:cs="Arial"/>
          <w:b/>
          <w:color w:val="000000" w:themeColor="text1"/>
          <w:sz w:val="22"/>
          <w:szCs w:val="22"/>
          <w14:textFill>
            <w14:solidFill>
              <w14:schemeClr w14:val="tx1"/>
            </w14:solidFill>
          </w14:textFill>
        </w:rPr>
      </w:pPr>
      <w:bookmarkStart w:id="78" w:name="_Toc221356886"/>
    </w:p>
    <w:p>
      <w:pPr>
        <w:tabs>
          <w:tab w:val="left" w:pos="5355"/>
        </w:tabs>
        <w:spacing w:line="400" w:lineRule="exact"/>
        <w:ind w:left="360"/>
        <w:rPr>
          <w:rFonts w:ascii="宋体" w:hAnsi="宋体" w:cs="Arial"/>
          <w:b/>
          <w:color w:val="000000" w:themeColor="text1"/>
          <w:sz w:val="22"/>
          <w:szCs w:val="22"/>
          <w14:textFill>
            <w14:solidFill>
              <w14:schemeClr w14:val="tx1"/>
            </w14:solidFill>
          </w14:textFill>
        </w:rPr>
      </w:pPr>
      <w:r>
        <w:rPr>
          <w:rFonts w:hint="eastAsia" w:ascii="宋体" w:hAnsi="宋体" w:cs="Arial"/>
          <w:b/>
          <w:color w:val="000000" w:themeColor="text1"/>
          <w:sz w:val="22"/>
          <w:szCs w:val="22"/>
          <w14:textFill>
            <w14:solidFill>
              <w14:schemeClr w14:val="tx1"/>
            </w14:solidFill>
          </w14:textFill>
        </w:rPr>
        <w:t>（2） 商务（报价）标</w:t>
      </w:r>
      <w:bookmarkEnd w:id="78"/>
    </w:p>
    <w:tbl>
      <w:tblPr>
        <w:tblStyle w:val="30"/>
        <w:tblW w:w="9639"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7654"/>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51" w:type="dxa"/>
            <w:vAlign w:val="center"/>
          </w:tcPr>
          <w:p>
            <w:pPr>
              <w:jc w:val="center"/>
              <w:rPr>
                <w:rFonts w:ascii="宋体" w:hAnsi="宋体"/>
                <w:b/>
                <w:color w:val="000000" w:themeColor="text1"/>
                <w:sz w:val="22"/>
                <w:szCs w:val="22"/>
                <w14:textFill>
                  <w14:solidFill>
                    <w14:schemeClr w14:val="tx1"/>
                  </w14:solidFill>
                </w14:textFill>
              </w:rPr>
            </w:pPr>
            <w:r>
              <w:rPr>
                <w:rFonts w:hint="eastAsia" w:ascii="宋体" w:hAnsi="宋体"/>
                <w:b/>
                <w:color w:val="000000" w:themeColor="text1"/>
                <w:sz w:val="22"/>
                <w:szCs w:val="22"/>
                <w14:textFill>
                  <w14:solidFill>
                    <w14:schemeClr w14:val="tx1"/>
                  </w14:solidFill>
                </w14:textFill>
              </w:rPr>
              <w:t>序号</w:t>
            </w:r>
          </w:p>
        </w:tc>
        <w:tc>
          <w:tcPr>
            <w:tcW w:w="7654" w:type="dxa"/>
            <w:vAlign w:val="center"/>
          </w:tcPr>
          <w:p>
            <w:pPr>
              <w:jc w:val="center"/>
              <w:rPr>
                <w:rFonts w:ascii="宋体" w:hAnsi="宋体"/>
                <w:b/>
                <w:color w:val="000000" w:themeColor="text1"/>
                <w:sz w:val="22"/>
                <w:szCs w:val="22"/>
                <w14:textFill>
                  <w14:solidFill>
                    <w14:schemeClr w14:val="tx1"/>
                  </w14:solidFill>
                </w14:textFill>
              </w:rPr>
            </w:pPr>
            <w:r>
              <w:rPr>
                <w:rFonts w:hint="eastAsia" w:ascii="宋体" w:hAnsi="宋体"/>
                <w:b/>
                <w:color w:val="000000" w:themeColor="text1"/>
                <w:sz w:val="22"/>
                <w:szCs w:val="22"/>
                <w14:textFill>
                  <w14:solidFill>
                    <w14:schemeClr w14:val="tx1"/>
                  </w14:solidFill>
                </w14:textFill>
              </w:rPr>
              <w:t>内容</w:t>
            </w:r>
          </w:p>
        </w:tc>
        <w:tc>
          <w:tcPr>
            <w:tcW w:w="1134" w:type="dxa"/>
            <w:vAlign w:val="center"/>
          </w:tcPr>
          <w:p>
            <w:pPr>
              <w:jc w:val="center"/>
              <w:rPr>
                <w:rFonts w:ascii="宋体" w:hAnsi="宋体"/>
                <w:b/>
                <w:color w:val="000000" w:themeColor="text1"/>
                <w:sz w:val="22"/>
                <w:szCs w:val="22"/>
                <w14:textFill>
                  <w14:solidFill>
                    <w14:schemeClr w14:val="tx1"/>
                  </w14:solidFill>
                </w14:textFill>
              </w:rPr>
            </w:pPr>
            <w:r>
              <w:rPr>
                <w:rFonts w:hint="eastAsia" w:ascii="宋体" w:hAnsi="宋体"/>
                <w:b/>
                <w:color w:val="000000" w:themeColor="text1"/>
                <w:sz w:val="22"/>
                <w:szCs w:val="22"/>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51" w:type="dxa"/>
            <w:vAlign w:val="center"/>
          </w:tcPr>
          <w:p>
            <w:pPr>
              <w:jc w:val="center"/>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1)</w:t>
            </w:r>
          </w:p>
        </w:tc>
        <w:tc>
          <w:tcPr>
            <w:tcW w:w="7654" w:type="dxa"/>
            <w:vAlign w:val="center"/>
          </w:tcPr>
          <w:p>
            <w:pPr>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投标报价一览表</w:t>
            </w:r>
          </w:p>
        </w:tc>
        <w:tc>
          <w:tcPr>
            <w:tcW w:w="1134" w:type="dxa"/>
            <w:vAlign w:val="center"/>
          </w:tcPr>
          <w:p>
            <w:pPr>
              <w:jc w:val="center"/>
              <w:rPr>
                <w:rFonts w:ascii="宋体" w:hAnsi="宋体"/>
                <w:b/>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附件二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51" w:type="dxa"/>
            <w:vAlign w:val="center"/>
          </w:tcPr>
          <w:p>
            <w:pPr>
              <w:jc w:val="center"/>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2)</w:t>
            </w:r>
          </w:p>
        </w:tc>
        <w:tc>
          <w:tcPr>
            <w:tcW w:w="7654" w:type="dxa"/>
            <w:vAlign w:val="center"/>
          </w:tcPr>
          <w:p>
            <w:pPr>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投标分项报价表</w:t>
            </w:r>
          </w:p>
        </w:tc>
        <w:tc>
          <w:tcPr>
            <w:tcW w:w="1134" w:type="dxa"/>
            <w:vAlign w:val="center"/>
          </w:tcPr>
          <w:p>
            <w:pPr>
              <w:jc w:val="center"/>
              <w:rPr>
                <w:rFonts w:ascii="宋体" w:hAnsi="宋体"/>
                <w:b/>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附件三</w:t>
            </w:r>
          </w:p>
        </w:tc>
      </w:tr>
    </w:tbl>
    <w:p>
      <w:pPr>
        <w:spacing w:line="430" w:lineRule="exact"/>
        <w:ind w:left="180"/>
        <w:rPr>
          <w:rFonts w:ascii="宋体" w:hAnsi="宋体" w:cs="Arial"/>
          <w:b/>
          <w:color w:val="000000" w:themeColor="text1"/>
          <w:sz w:val="22"/>
          <w:szCs w:val="22"/>
          <w14:textFill>
            <w14:solidFill>
              <w14:schemeClr w14:val="tx1"/>
            </w14:solidFill>
          </w14:textFill>
        </w:rPr>
      </w:pPr>
    </w:p>
    <w:p>
      <w:pPr>
        <w:pStyle w:val="2"/>
      </w:pPr>
    </w:p>
    <w:p>
      <w:pPr>
        <w:pStyle w:val="3"/>
        <w:rPr>
          <w:rFonts w:hint="eastAsia"/>
        </w:rPr>
      </w:pPr>
    </w:p>
    <w:p>
      <w:pPr>
        <w:pStyle w:val="3"/>
        <w:rPr>
          <w:rFonts w:hint="eastAsia"/>
        </w:rPr>
      </w:pPr>
    </w:p>
    <w:p>
      <w:pPr>
        <w:pStyle w:val="3"/>
        <w:rPr>
          <w:rFonts w:hint="eastAsia"/>
        </w:rPr>
      </w:pPr>
    </w:p>
    <w:p>
      <w:pPr>
        <w:pStyle w:val="3"/>
      </w:pPr>
    </w:p>
    <w:p>
      <w:pPr>
        <w:pStyle w:val="3"/>
      </w:pPr>
    </w:p>
    <w:p>
      <w:pPr>
        <w:numPr>
          <w:ilvl w:val="1"/>
          <w:numId w:val="9"/>
        </w:numPr>
        <w:tabs>
          <w:tab w:val="left" w:pos="360"/>
          <w:tab w:val="clear" w:pos="992"/>
        </w:tabs>
        <w:spacing w:line="460" w:lineRule="exact"/>
        <w:ind w:left="360" w:hanging="360"/>
        <w:rPr>
          <w:rFonts w:ascii="宋体" w:hAnsi="宋体" w:cs="Arial"/>
          <w:b/>
          <w:color w:val="000000" w:themeColor="text1"/>
          <w:sz w:val="22"/>
          <w:szCs w:val="22"/>
          <w14:textFill>
            <w14:solidFill>
              <w14:schemeClr w14:val="tx1"/>
            </w14:solidFill>
          </w14:textFill>
        </w:rPr>
      </w:pPr>
      <w:r>
        <w:rPr>
          <w:rFonts w:hint="eastAsia" w:ascii="宋体" w:hAnsi="宋体" w:cs="Arial"/>
          <w:b/>
          <w:color w:val="000000" w:themeColor="text1"/>
          <w:sz w:val="22"/>
          <w:szCs w:val="22"/>
          <w14:textFill>
            <w14:solidFill>
              <w14:schemeClr w14:val="tx1"/>
            </w14:solidFill>
          </w14:textFill>
        </w:rPr>
        <w:t xml:space="preserve">  投标文件格式</w:t>
      </w:r>
    </w:p>
    <w:p>
      <w:pPr>
        <w:numPr>
          <w:ilvl w:val="0"/>
          <w:numId w:val="11"/>
        </w:numPr>
        <w:tabs>
          <w:tab w:val="left" w:pos="900"/>
          <w:tab w:val="clear" w:pos="530"/>
        </w:tabs>
        <w:spacing w:line="430" w:lineRule="exact"/>
        <w:ind w:left="900" w:hanging="540"/>
        <w:rPr>
          <w:rFonts w:ascii="宋体" w:hAnsi="宋体" w:cs="Arial"/>
          <w:color w:val="000000" w:themeColor="text1"/>
          <w:sz w:val="22"/>
          <w:szCs w:val="22"/>
          <w14:textFill>
            <w14:solidFill>
              <w14:schemeClr w14:val="tx1"/>
            </w14:solidFill>
          </w14:textFill>
        </w:rPr>
      </w:pPr>
      <w:r>
        <w:rPr>
          <w:rFonts w:hint="eastAsia" w:ascii="宋体" w:hAnsi="宋体" w:cs="Arial"/>
          <w:color w:val="000000" w:themeColor="text1"/>
          <w:sz w:val="22"/>
          <w:szCs w:val="22"/>
          <w14:textFill>
            <w14:solidFill>
              <w14:schemeClr w14:val="tx1"/>
            </w14:solidFill>
          </w14:textFill>
        </w:rPr>
        <w:t>投标人应根据招标文件中所提供的格式，内容按顺序填写并装订成册，不允许以活页夹形式装订投标文件；</w:t>
      </w:r>
    </w:p>
    <w:p>
      <w:pPr>
        <w:numPr>
          <w:ilvl w:val="0"/>
          <w:numId w:val="11"/>
        </w:numPr>
        <w:tabs>
          <w:tab w:val="left" w:pos="900"/>
          <w:tab w:val="clear" w:pos="530"/>
        </w:tabs>
        <w:spacing w:line="430" w:lineRule="exact"/>
        <w:ind w:left="900" w:hanging="540"/>
        <w:rPr>
          <w:rFonts w:ascii="宋体" w:hAnsi="宋体" w:cs="Arial"/>
          <w:color w:val="000000" w:themeColor="text1"/>
          <w:sz w:val="22"/>
          <w:szCs w:val="22"/>
          <w14:textFill>
            <w14:solidFill>
              <w14:schemeClr w14:val="tx1"/>
            </w14:solidFill>
          </w14:textFill>
        </w:rPr>
      </w:pPr>
      <w:r>
        <w:rPr>
          <w:rFonts w:hint="eastAsia" w:ascii="宋体" w:hAnsi="宋体" w:cs="Arial"/>
          <w:color w:val="000000" w:themeColor="text1"/>
          <w:sz w:val="22"/>
          <w:szCs w:val="22"/>
          <w14:textFill>
            <w14:solidFill>
              <w14:schemeClr w14:val="tx1"/>
            </w14:solidFill>
          </w14:textFill>
        </w:rPr>
        <w:t>投标文件应有目录以及页码，以便评委检索；</w:t>
      </w:r>
    </w:p>
    <w:p>
      <w:pPr>
        <w:numPr>
          <w:ilvl w:val="0"/>
          <w:numId w:val="11"/>
        </w:numPr>
        <w:tabs>
          <w:tab w:val="left" w:pos="900"/>
          <w:tab w:val="clear" w:pos="530"/>
        </w:tabs>
        <w:spacing w:line="430" w:lineRule="exact"/>
        <w:ind w:left="900" w:hanging="540"/>
        <w:rPr>
          <w:rFonts w:ascii="宋体" w:hAnsi="宋体" w:cs="Arial"/>
          <w:color w:val="000000" w:themeColor="text1"/>
          <w:sz w:val="22"/>
          <w:szCs w:val="22"/>
          <w14:textFill>
            <w14:solidFill>
              <w14:schemeClr w14:val="tx1"/>
            </w14:solidFill>
          </w14:textFill>
        </w:rPr>
      </w:pPr>
      <w:r>
        <w:rPr>
          <w:rFonts w:hint="eastAsia" w:ascii="宋体" w:hAnsi="宋体" w:cs="Arial"/>
          <w:color w:val="000000" w:themeColor="text1"/>
          <w:sz w:val="22"/>
          <w:szCs w:val="22"/>
          <w14:textFill>
            <w14:solidFill>
              <w14:schemeClr w14:val="tx1"/>
            </w14:solidFill>
          </w14:textFill>
        </w:rPr>
        <w:t>技术资信标与商务标分别包装于各自标函袋中。</w:t>
      </w:r>
    </w:p>
    <w:p>
      <w:pPr>
        <w:numPr>
          <w:ilvl w:val="0"/>
          <w:numId w:val="7"/>
        </w:numPr>
        <w:tabs>
          <w:tab w:val="left" w:pos="540"/>
          <w:tab w:val="clear" w:pos="420"/>
        </w:tabs>
        <w:spacing w:line="460" w:lineRule="exact"/>
        <w:ind w:left="540" w:hanging="540"/>
        <w:rPr>
          <w:rFonts w:ascii="宋体" w:hAnsi="宋体"/>
          <w:color w:val="000000" w:themeColor="text1"/>
          <w:sz w:val="22"/>
          <w:szCs w:val="22"/>
          <w14:textFill>
            <w14:solidFill>
              <w14:schemeClr w14:val="tx1"/>
            </w14:solidFill>
          </w14:textFill>
        </w:rPr>
      </w:pPr>
      <w:r>
        <w:rPr>
          <w:rFonts w:hint="eastAsia" w:ascii="宋体" w:hAnsi="宋体"/>
          <w:bCs/>
          <w:color w:val="000000" w:themeColor="text1"/>
          <w:sz w:val="22"/>
          <w:szCs w:val="22"/>
          <w14:textFill>
            <w14:solidFill>
              <w14:schemeClr w14:val="tx1"/>
            </w14:solidFill>
          </w14:textFill>
        </w:rPr>
        <w:t>投标报价</w:t>
      </w:r>
    </w:p>
    <w:p>
      <w:pPr>
        <w:numPr>
          <w:ilvl w:val="1"/>
          <w:numId w:val="12"/>
        </w:numPr>
        <w:tabs>
          <w:tab w:val="left" w:pos="540"/>
          <w:tab w:val="clear" w:pos="992"/>
        </w:tabs>
        <w:spacing w:line="460" w:lineRule="exact"/>
        <w:ind w:left="540" w:hanging="540"/>
        <w:rPr>
          <w:rFonts w:ascii="宋体" w:hAnsi="宋体"/>
          <w:b/>
          <w:color w:val="000000" w:themeColor="text1"/>
          <w:sz w:val="22"/>
          <w:szCs w:val="22"/>
          <w:u w:val="single"/>
          <w14:textFill>
            <w14:solidFill>
              <w14:schemeClr w14:val="tx1"/>
            </w14:solidFill>
          </w14:textFill>
        </w:rPr>
      </w:pPr>
      <w:r>
        <w:rPr>
          <w:rFonts w:hint="eastAsia" w:ascii="宋体" w:hAnsi="宋体" w:cs="Arial"/>
          <w:b/>
          <w:bCs/>
          <w:color w:val="000000" w:themeColor="text1"/>
          <w:szCs w:val="21"/>
          <w14:textFill>
            <w14:solidFill>
              <w14:schemeClr w14:val="tx1"/>
            </w14:solidFill>
          </w14:textFill>
        </w:rPr>
        <w:t>▲</w:t>
      </w:r>
      <w:r>
        <w:rPr>
          <w:rFonts w:hint="eastAsia" w:ascii="宋体" w:hAnsi="宋体"/>
          <w:b/>
          <w:color w:val="000000" w:themeColor="text1"/>
          <w:sz w:val="22"/>
          <w:szCs w:val="22"/>
          <w:u w:val="single"/>
          <w14:textFill>
            <w14:solidFill>
              <w14:schemeClr w14:val="tx1"/>
            </w14:solidFill>
          </w14:textFill>
        </w:rPr>
        <w:t>投标报价是指乙方在正确地完全履行合同义务后甲方应支付给乙方所有的货物价款，包含所需的货物的价格、运输费、调试费、检验费、技术指导（培训）费、验收合格之前及规定质保期内发生的维护费、售后服务费及备品、招标代理服务费、备件发生的所有含税费用</w:t>
      </w:r>
      <w:r>
        <w:rPr>
          <w:rFonts w:hint="eastAsia" w:ascii="宋体" w:hAnsi="宋体"/>
          <w:b/>
          <w:color w:val="C00000"/>
          <w:sz w:val="22"/>
          <w:szCs w:val="22"/>
          <w:u w:val="single"/>
        </w:rPr>
        <w:t>（包括车辆购置税）</w:t>
      </w:r>
      <w:r>
        <w:rPr>
          <w:rFonts w:hint="eastAsia" w:ascii="宋体" w:hAnsi="宋体"/>
          <w:b/>
          <w:color w:val="000000" w:themeColor="text1"/>
          <w:sz w:val="22"/>
          <w:szCs w:val="22"/>
          <w:u w:val="single"/>
          <w14:textFill>
            <w14:solidFill>
              <w14:schemeClr w14:val="tx1"/>
            </w14:solidFill>
          </w14:textFill>
        </w:rPr>
        <w:t>等完成合同所需的一切本身和不可或缺的所有工作开支、政策性文件规定等全部费用，投标人应根据上述因素自行考虑含入投标总价。</w:t>
      </w:r>
    </w:p>
    <w:p>
      <w:pPr>
        <w:numPr>
          <w:ilvl w:val="1"/>
          <w:numId w:val="12"/>
        </w:numPr>
        <w:tabs>
          <w:tab w:val="left" w:pos="540"/>
          <w:tab w:val="clear" w:pos="992"/>
        </w:tabs>
        <w:spacing w:line="460" w:lineRule="exact"/>
        <w:ind w:left="540" w:hanging="540"/>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投标人必须按第四部分附件的投标报价一览表（统一格式）的内容填写投标报价及其他事项，并由法定代表人或授权代表签署。</w:t>
      </w:r>
    </w:p>
    <w:p>
      <w:pPr>
        <w:numPr>
          <w:ilvl w:val="1"/>
          <w:numId w:val="12"/>
        </w:numPr>
        <w:tabs>
          <w:tab w:val="left" w:pos="540"/>
          <w:tab w:val="clear" w:pos="992"/>
        </w:tabs>
        <w:spacing w:line="460" w:lineRule="exact"/>
        <w:ind w:left="540" w:hanging="540"/>
        <w:rPr>
          <w:rFonts w:ascii="宋体" w:hAnsi="宋体"/>
          <w:b/>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所有投标均以人民币报价。</w:t>
      </w:r>
    </w:p>
    <w:p>
      <w:pPr>
        <w:numPr>
          <w:ilvl w:val="1"/>
          <w:numId w:val="12"/>
        </w:numPr>
        <w:tabs>
          <w:tab w:val="left" w:pos="540"/>
          <w:tab w:val="clear" w:pos="992"/>
        </w:tabs>
        <w:spacing w:line="460" w:lineRule="exact"/>
        <w:ind w:left="540" w:hanging="540"/>
        <w:rPr>
          <w:rFonts w:ascii="宋体" w:hAnsi="宋体"/>
          <w:color w:val="000000" w:themeColor="text1"/>
          <w:sz w:val="22"/>
          <w:szCs w:val="22"/>
          <w14:textFill>
            <w14:solidFill>
              <w14:schemeClr w14:val="tx1"/>
            </w14:solidFill>
          </w14:textFill>
        </w:rPr>
      </w:pPr>
      <w:r>
        <w:rPr>
          <w:rFonts w:hint="eastAsia" w:ascii="宋体" w:hAnsi="宋体" w:cs="Arial"/>
          <w:b/>
          <w:bCs/>
          <w:color w:val="000000" w:themeColor="text1"/>
          <w:szCs w:val="21"/>
          <w14:textFill>
            <w14:solidFill>
              <w14:schemeClr w14:val="tx1"/>
            </w14:solidFill>
          </w14:textFill>
        </w:rPr>
        <w:t>▲</w:t>
      </w:r>
      <w:r>
        <w:rPr>
          <w:rFonts w:hint="eastAsia" w:ascii="宋体" w:hAnsi="宋体"/>
          <w:b/>
          <w:color w:val="000000" w:themeColor="text1"/>
          <w:sz w:val="22"/>
          <w:szCs w:val="22"/>
          <w:u w:val="single"/>
          <w14:textFill>
            <w14:solidFill>
              <w14:schemeClr w14:val="tx1"/>
            </w14:solidFill>
          </w14:textFill>
        </w:rPr>
        <w:t>招标人不接受任何选择报价，只允许一个报价。</w:t>
      </w:r>
    </w:p>
    <w:p>
      <w:pPr>
        <w:numPr>
          <w:ilvl w:val="1"/>
          <w:numId w:val="12"/>
        </w:numPr>
        <w:tabs>
          <w:tab w:val="left" w:pos="540"/>
          <w:tab w:val="clear" w:pos="992"/>
        </w:tabs>
        <w:spacing w:line="460" w:lineRule="exact"/>
        <w:ind w:left="540" w:hanging="540"/>
        <w:rPr>
          <w:rFonts w:ascii="宋体" w:hAnsi="宋体"/>
          <w:b/>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招标人要求分类报价是为了方便评标，但在任何情况下不限制招标人以其认为最合适的条款、条件签订合同的权利。</w:t>
      </w:r>
    </w:p>
    <w:p>
      <w:pPr>
        <w:numPr>
          <w:ilvl w:val="1"/>
          <w:numId w:val="12"/>
        </w:numPr>
        <w:tabs>
          <w:tab w:val="left" w:pos="540"/>
          <w:tab w:val="clear" w:pos="992"/>
        </w:tabs>
        <w:spacing w:line="460" w:lineRule="exact"/>
        <w:ind w:left="540" w:hanging="540"/>
        <w:rPr>
          <w:rFonts w:ascii="宋体" w:hAnsi="宋体"/>
          <w:b/>
          <w:color w:val="000000" w:themeColor="text1"/>
          <w:sz w:val="22"/>
          <w:szCs w:val="22"/>
          <w14:textFill>
            <w14:solidFill>
              <w14:schemeClr w14:val="tx1"/>
            </w14:solidFill>
          </w14:textFill>
        </w:rPr>
      </w:pPr>
      <w:r>
        <w:rPr>
          <w:rFonts w:hint="eastAsia" w:ascii="宋体" w:hAnsi="宋体"/>
          <w:b/>
          <w:color w:val="000000" w:themeColor="text1"/>
          <w:sz w:val="22"/>
          <w:szCs w:val="22"/>
          <w14:textFill>
            <w14:solidFill>
              <w14:schemeClr w14:val="tx1"/>
            </w14:solidFill>
          </w14:textFill>
        </w:rPr>
        <w:t>最低报价不能作为中标的保证。</w:t>
      </w:r>
    </w:p>
    <w:p>
      <w:pPr>
        <w:numPr>
          <w:ilvl w:val="0"/>
          <w:numId w:val="7"/>
        </w:numPr>
        <w:tabs>
          <w:tab w:val="left" w:pos="540"/>
          <w:tab w:val="clear" w:pos="420"/>
        </w:tabs>
        <w:spacing w:line="460" w:lineRule="exact"/>
        <w:ind w:left="540" w:hanging="540"/>
        <w:rPr>
          <w:rFonts w:ascii="宋体" w:hAnsi="宋体"/>
          <w:color w:val="000000" w:themeColor="text1"/>
          <w:sz w:val="22"/>
          <w:szCs w:val="22"/>
          <w14:textFill>
            <w14:solidFill>
              <w14:schemeClr w14:val="tx1"/>
            </w14:solidFill>
          </w14:textFill>
        </w:rPr>
      </w:pPr>
      <w:r>
        <w:rPr>
          <w:rFonts w:hint="eastAsia" w:ascii="宋体" w:hAnsi="宋体"/>
          <w:bCs/>
          <w:color w:val="000000" w:themeColor="text1"/>
          <w:sz w:val="22"/>
          <w:szCs w:val="22"/>
          <w14:textFill>
            <w14:solidFill>
              <w14:schemeClr w14:val="tx1"/>
            </w14:solidFill>
          </w14:textFill>
        </w:rPr>
        <w:t>投标保证金</w:t>
      </w:r>
    </w:p>
    <w:p>
      <w:pPr>
        <w:numPr>
          <w:ilvl w:val="1"/>
          <w:numId w:val="13"/>
        </w:numPr>
        <w:tabs>
          <w:tab w:val="left" w:pos="540"/>
          <w:tab w:val="clear" w:pos="992"/>
        </w:tabs>
        <w:spacing w:line="460" w:lineRule="exact"/>
        <w:ind w:left="540" w:hanging="540"/>
        <w:rPr>
          <w:rFonts w:ascii="宋体" w:hAnsi="宋体"/>
          <w:b/>
          <w:color w:val="000000" w:themeColor="text1"/>
          <w:sz w:val="22"/>
          <w:szCs w:val="22"/>
          <w14:textFill>
            <w14:solidFill>
              <w14:schemeClr w14:val="tx1"/>
            </w14:solidFill>
          </w14:textFill>
        </w:rPr>
      </w:pPr>
      <w:r>
        <w:rPr>
          <w:rFonts w:hint="eastAsia" w:ascii="宋体" w:hAnsi="宋体" w:cs="Arial"/>
          <w:b/>
          <w:bCs/>
          <w:color w:val="000000" w:themeColor="text1"/>
          <w:szCs w:val="21"/>
          <w14:textFill>
            <w14:solidFill>
              <w14:schemeClr w14:val="tx1"/>
            </w14:solidFill>
          </w14:textFill>
        </w:rPr>
        <w:t>▲</w:t>
      </w:r>
      <w:r>
        <w:rPr>
          <w:rFonts w:hint="eastAsia" w:ascii="宋体" w:hAnsi="宋体" w:cs="Arial"/>
          <w:b/>
          <w:color w:val="000000" w:themeColor="text1"/>
          <w:sz w:val="22"/>
          <w:szCs w:val="22"/>
          <w:u w:val="single"/>
          <w14:textFill>
            <w14:solidFill>
              <w14:schemeClr w14:val="tx1"/>
            </w14:solidFill>
          </w14:textFill>
        </w:rPr>
        <w:t>投标人须按照投标保证金（金额详见《招标公告》）的要求提交投标保证金，否则招标人将不接受其投标。</w:t>
      </w:r>
    </w:p>
    <w:p>
      <w:pPr>
        <w:numPr>
          <w:ilvl w:val="1"/>
          <w:numId w:val="13"/>
        </w:numPr>
        <w:tabs>
          <w:tab w:val="left" w:pos="540"/>
          <w:tab w:val="clear" w:pos="992"/>
        </w:tabs>
        <w:spacing w:line="460" w:lineRule="exact"/>
        <w:ind w:left="540" w:hanging="540"/>
        <w:rPr>
          <w:rFonts w:ascii="宋体" w:hAnsi="宋体"/>
          <w:b/>
          <w:color w:val="000000" w:themeColor="text1"/>
          <w:sz w:val="22"/>
          <w:szCs w:val="22"/>
          <w:u w:val="single"/>
          <w14:textFill>
            <w14:solidFill>
              <w14:schemeClr w14:val="tx1"/>
            </w14:solidFill>
          </w14:textFill>
        </w:rPr>
      </w:pPr>
      <w:r>
        <w:rPr>
          <w:rFonts w:hint="eastAsia" w:ascii="宋体" w:hAnsi="宋体" w:cs="Arial"/>
          <w:b/>
          <w:bCs/>
          <w:color w:val="000000" w:themeColor="text1"/>
          <w:szCs w:val="21"/>
          <w14:textFill>
            <w14:solidFill>
              <w14:schemeClr w14:val="tx1"/>
            </w14:solidFill>
          </w14:textFill>
        </w:rPr>
        <w:t>▲</w:t>
      </w:r>
      <w:r>
        <w:rPr>
          <w:rFonts w:hint="eastAsia" w:ascii="宋体" w:hAnsi="宋体"/>
          <w:b/>
          <w:color w:val="000000" w:themeColor="text1"/>
          <w:sz w:val="22"/>
          <w:szCs w:val="22"/>
          <w:u w:val="single"/>
          <w14:textFill>
            <w14:solidFill>
              <w14:schemeClr w14:val="tx1"/>
            </w14:solidFill>
          </w14:textFill>
        </w:rPr>
        <w:t>如发生下列情况之一，投标保证金将不予退还：</w:t>
      </w:r>
    </w:p>
    <w:p>
      <w:pPr>
        <w:numPr>
          <w:ilvl w:val="0"/>
          <w:numId w:val="14"/>
        </w:numPr>
        <w:tabs>
          <w:tab w:val="left" w:pos="360"/>
          <w:tab w:val="clear" w:pos="420"/>
        </w:tabs>
        <w:spacing w:line="430" w:lineRule="exact"/>
        <w:ind w:left="720" w:hanging="720"/>
        <w:rPr>
          <w:rFonts w:ascii="宋体" w:hAnsi="宋体" w:cs="Arial"/>
          <w:color w:val="000000" w:themeColor="text1"/>
          <w:sz w:val="22"/>
          <w:szCs w:val="22"/>
          <w:u w:val="single"/>
          <w14:textFill>
            <w14:solidFill>
              <w14:schemeClr w14:val="tx1"/>
            </w14:solidFill>
          </w14:textFill>
        </w:rPr>
      </w:pPr>
      <w:r>
        <w:rPr>
          <w:rFonts w:hint="eastAsia" w:ascii="宋体" w:hAnsi="宋体" w:cs="Arial"/>
          <w:color w:val="000000" w:themeColor="text1"/>
          <w:sz w:val="22"/>
          <w:szCs w:val="22"/>
          <w:u w:val="single"/>
          <w14:textFill>
            <w14:solidFill>
              <w14:schemeClr w14:val="tx1"/>
            </w14:solidFill>
          </w14:textFill>
        </w:rPr>
        <w:t>投标人在招标文件规定的投标有效期内撤回投标；</w:t>
      </w:r>
    </w:p>
    <w:p>
      <w:pPr>
        <w:numPr>
          <w:ilvl w:val="0"/>
          <w:numId w:val="14"/>
        </w:numPr>
        <w:tabs>
          <w:tab w:val="left" w:pos="360"/>
          <w:tab w:val="clear" w:pos="420"/>
        </w:tabs>
        <w:spacing w:line="430" w:lineRule="exact"/>
        <w:ind w:left="720" w:hanging="720"/>
        <w:rPr>
          <w:rFonts w:ascii="宋体" w:hAnsi="宋体" w:cs="Arial"/>
          <w:color w:val="000000" w:themeColor="text1"/>
          <w:sz w:val="22"/>
          <w:szCs w:val="22"/>
          <w:u w:val="single"/>
          <w14:textFill>
            <w14:solidFill>
              <w14:schemeClr w14:val="tx1"/>
            </w14:solidFill>
          </w14:textFill>
        </w:rPr>
      </w:pPr>
      <w:r>
        <w:rPr>
          <w:rFonts w:hint="eastAsia" w:ascii="宋体" w:hAnsi="宋体" w:cs="Arial"/>
          <w:color w:val="000000" w:themeColor="text1"/>
          <w:sz w:val="22"/>
          <w:szCs w:val="22"/>
          <w:u w:val="single"/>
          <w14:textFill>
            <w14:solidFill>
              <w14:schemeClr w14:val="tx1"/>
            </w14:solidFill>
          </w14:textFill>
        </w:rPr>
        <w:t>中标人未按中标通知书中规定的时间与招标人签订合同；</w:t>
      </w:r>
    </w:p>
    <w:p>
      <w:pPr>
        <w:numPr>
          <w:ilvl w:val="0"/>
          <w:numId w:val="14"/>
        </w:numPr>
        <w:tabs>
          <w:tab w:val="left" w:pos="360"/>
          <w:tab w:val="clear" w:pos="420"/>
        </w:tabs>
        <w:spacing w:line="430" w:lineRule="exact"/>
        <w:ind w:left="720" w:hanging="720"/>
        <w:rPr>
          <w:rFonts w:ascii="宋体" w:hAnsi="宋体" w:cs="Arial"/>
          <w:color w:val="000000" w:themeColor="text1"/>
          <w:sz w:val="22"/>
          <w:szCs w:val="22"/>
          <w:u w:val="single"/>
          <w14:textFill>
            <w14:solidFill>
              <w14:schemeClr w14:val="tx1"/>
            </w14:solidFill>
          </w14:textFill>
        </w:rPr>
      </w:pPr>
      <w:r>
        <w:rPr>
          <w:rFonts w:hint="eastAsia" w:ascii="宋体" w:hAnsi="宋体" w:cs="Arial"/>
          <w:color w:val="000000" w:themeColor="text1"/>
          <w:sz w:val="22"/>
          <w:szCs w:val="22"/>
          <w:u w:val="single"/>
          <w14:textFill>
            <w14:solidFill>
              <w14:schemeClr w14:val="tx1"/>
            </w14:solidFill>
          </w14:textFill>
        </w:rPr>
        <w:t>中标人在规定期限内未能根据招标文件要求提供履约保证金；</w:t>
      </w:r>
    </w:p>
    <w:p>
      <w:pPr>
        <w:numPr>
          <w:ilvl w:val="0"/>
          <w:numId w:val="14"/>
        </w:numPr>
        <w:tabs>
          <w:tab w:val="left" w:pos="360"/>
          <w:tab w:val="clear" w:pos="420"/>
        </w:tabs>
        <w:spacing w:line="430" w:lineRule="exact"/>
        <w:ind w:left="720" w:hanging="720"/>
        <w:rPr>
          <w:rFonts w:ascii="宋体" w:hAnsi="宋体" w:cs="Arial"/>
          <w:color w:val="000000" w:themeColor="text1"/>
          <w:sz w:val="22"/>
          <w:szCs w:val="22"/>
          <w:u w:val="single"/>
          <w14:textFill>
            <w14:solidFill>
              <w14:schemeClr w14:val="tx1"/>
            </w14:solidFill>
          </w14:textFill>
        </w:rPr>
      </w:pPr>
      <w:r>
        <w:rPr>
          <w:rFonts w:hint="eastAsia" w:ascii="宋体" w:hAnsi="宋体" w:cs="Arial"/>
          <w:color w:val="000000" w:themeColor="text1"/>
          <w:sz w:val="22"/>
          <w:szCs w:val="22"/>
          <w:u w:val="single"/>
          <w14:textFill>
            <w14:solidFill>
              <w14:schemeClr w14:val="tx1"/>
            </w14:solidFill>
          </w14:textFill>
        </w:rPr>
        <w:t>投标人在投标文件中提供虚假技术指标及参数，经评标委员会确认属实的。</w:t>
      </w:r>
    </w:p>
    <w:p>
      <w:pPr>
        <w:numPr>
          <w:ilvl w:val="0"/>
          <w:numId w:val="14"/>
        </w:numPr>
        <w:tabs>
          <w:tab w:val="left" w:pos="360"/>
          <w:tab w:val="clear" w:pos="420"/>
        </w:tabs>
        <w:spacing w:line="430" w:lineRule="exact"/>
        <w:ind w:left="720" w:hanging="720"/>
        <w:rPr>
          <w:rFonts w:ascii="宋体" w:hAnsi="宋体" w:cs="Arial"/>
          <w:color w:val="000000" w:themeColor="text1"/>
          <w:sz w:val="22"/>
          <w:szCs w:val="22"/>
          <w14:textFill>
            <w14:solidFill>
              <w14:schemeClr w14:val="tx1"/>
            </w14:solidFill>
          </w14:textFill>
        </w:rPr>
      </w:pPr>
      <w:r>
        <w:rPr>
          <w:rFonts w:hint="eastAsia" w:ascii="宋体" w:hAnsi="宋体" w:cs="Arial"/>
          <w:color w:val="000000" w:themeColor="text1"/>
          <w:sz w:val="22"/>
          <w:szCs w:val="22"/>
          <w:u w:val="single"/>
          <w14:textFill>
            <w14:solidFill>
              <w14:schemeClr w14:val="tx1"/>
            </w14:solidFill>
          </w14:textFill>
        </w:rPr>
        <w:t>经采购监督管理部门审查认定投标人有违反《温州市国有企业采购管理办法（试行）》等有关法律法规的行为。</w:t>
      </w:r>
    </w:p>
    <w:p>
      <w:pPr>
        <w:numPr>
          <w:ilvl w:val="0"/>
          <w:numId w:val="7"/>
        </w:numPr>
        <w:tabs>
          <w:tab w:val="left" w:pos="540"/>
          <w:tab w:val="clear" w:pos="420"/>
        </w:tabs>
        <w:spacing w:line="460" w:lineRule="exact"/>
        <w:ind w:left="540" w:hanging="540"/>
        <w:rPr>
          <w:rFonts w:ascii="宋体" w:hAnsi="宋体"/>
          <w:b/>
          <w:color w:val="000000" w:themeColor="text1"/>
          <w:sz w:val="22"/>
          <w:szCs w:val="22"/>
          <w14:textFill>
            <w14:solidFill>
              <w14:schemeClr w14:val="tx1"/>
            </w14:solidFill>
          </w14:textFill>
        </w:rPr>
      </w:pPr>
      <w:r>
        <w:rPr>
          <w:rFonts w:hint="eastAsia" w:ascii="宋体" w:hAnsi="宋体"/>
          <w:bCs/>
          <w:color w:val="000000" w:themeColor="text1"/>
          <w:sz w:val="22"/>
          <w:szCs w:val="22"/>
          <w14:textFill>
            <w14:solidFill>
              <w14:schemeClr w14:val="tx1"/>
            </w14:solidFill>
          </w14:textFill>
        </w:rPr>
        <w:t>投标有效期</w:t>
      </w:r>
    </w:p>
    <w:p>
      <w:pPr>
        <w:numPr>
          <w:ilvl w:val="1"/>
          <w:numId w:val="15"/>
        </w:numPr>
        <w:tabs>
          <w:tab w:val="left" w:pos="540"/>
          <w:tab w:val="clear" w:pos="992"/>
        </w:tabs>
        <w:spacing w:line="460" w:lineRule="exact"/>
        <w:ind w:left="540" w:hanging="540"/>
        <w:rPr>
          <w:rFonts w:ascii="宋体" w:hAnsi="宋体"/>
          <w:color w:val="000000" w:themeColor="text1"/>
          <w:sz w:val="22"/>
          <w:szCs w:val="22"/>
          <w14:textFill>
            <w14:solidFill>
              <w14:schemeClr w14:val="tx1"/>
            </w14:solidFill>
          </w14:textFill>
        </w:rPr>
      </w:pPr>
      <w:r>
        <w:rPr>
          <w:rFonts w:hint="eastAsia" w:ascii="宋体" w:hAnsi="宋体"/>
          <w:b/>
          <w:color w:val="000000" w:themeColor="text1"/>
          <w:sz w:val="22"/>
          <w:szCs w:val="22"/>
          <w14:textFill>
            <w14:solidFill>
              <w14:schemeClr w14:val="tx1"/>
            </w14:solidFill>
          </w14:textFill>
        </w:rPr>
        <w:t>自开标之日起</w:t>
      </w:r>
      <w:r>
        <w:rPr>
          <w:rFonts w:hint="eastAsia" w:ascii="宋体" w:hAnsi="宋体"/>
          <w:b/>
          <w:color w:val="000000" w:themeColor="text1"/>
          <w:sz w:val="22"/>
          <w:szCs w:val="22"/>
          <w:u w:val="single"/>
          <w14:textFill>
            <w14:solidFill>
              <w14:schemeClr w14:val="tx1"/>
            </w14:solidFill>
          </w14:textFill>
        </w:rPr>
        <w:t xml:space="preserve"> 90</w:t>
      </w:r>
      <w:r>
        <w:rPr>
          <w:rFonts w:hint="eastAsia" w:ascii="宋体" w:hAnsi="宋体"/>
          <w:b/>
          <w:color w:val="000000" w:themeColor="text1"/>
          <w:sz w:val="22"/>
          <w:szCs w:val="22"/>
          <w14:textFill>
            <w14:solidFill>
              <w14:schemeClr w14:val="tx1"/>
            </w14:solidFill>
          </w14:textFill>
        </w:rPr>
        <w:t>天内投标应保持有效。投标有效期短于这个规定期限的投标将视为非响应性投标而予以拒绝。</w:t>
      </w:r>
    </w:p>
    <w:p>
      <w:pPr>
        <w:numPr>
          <w:ilvl w:val="1"/>
          <w:numId w:val="15"/>
        </w:numPr>
        <w:tabs>
          <w:tab w:val="left" w:pos="540"/>
          <w:tab w:val="clear" w:pos="992"/>
        </w:tabs>
        <w:spacing w:line="460" w:lineRule="exact"/>
        <w:ind w:left="540" w:hanging="540"/>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特殊情况下，在原投标有效期截止前，招标人可与投标人协商延长投标有效期，这种要求和答复均以书面形式进行。投标人可拒绝接受延期要求，而不会导致投标保证金不予退还。同意延长投标有效期的投标人不得修改投标文件。有关退还和不予退还投标保证金的规定在投标有效期的延长期内继续有效。</w:t>
      </w:r>
    </w:p>
    <w:p>
      <w:pPr>
        <w:numPr>
          <w:ilvl w:val="0"/>
          <w:numId w:val="7"/>
        </w:numPr>
        <w:tabs>
          <w:tab w:val="left" w:pos="540"/>
          <w:tab w:val="clear" w:pos="420"/>
        </w:tabs>
        <w:spacing w:line="460" w:lineRule="exact"/>
        <w:ind w:left="540" w:hanging="540"/>
        <w:rPr>
          <w:rFonts w:ascii="宋体" w:hAnsi="宋体"/>
          <w:color w:val="000000" w:themeColor="text1"/>
          <w:sz w:val="22"/>
          <w:szCs w:val="22"/>
          <w14:textFill>
            <w14:solidFill>
              <w14:schemeClr w14:val="tx1"/>
            </w14:solidFill>
          </w14:textFill>
        </w:rPr>
      </w:pPr>
      <w:r>
        <w:rPr>
          <w:rFonts w:hint="eastAsia" w:ascii="宋体" w:hAnsi="宋体"/>
          <w:bCs/>
          <w:color w:val="000000" w:themeColor="text1"/>
          <w:sz w:val="22"/>
          <w:szCs w:val="22"/>
          <w14:textFill>
            <w14:solidFill>
              <w14:schemeClr w14:val="tx1"/>
            </w14:solidFill>
          </w14:textFill>
        </w:rPr>
        <w:t>投标文件的签署和规定</w:t>
      </w:r>
    </w:p>
    <w:p>
      <w:pPr>
        <w:numPr>
          <w:ilvl w:val="1"/>
          <w:numId w:val="16"/>
        </w:numPr>
        <w:tabs>
          <w:tab w:val="left" w:pos="540"/>
          <w:tab w:val="clear" w:pos="992"/>
        </w:tabs>
        <w:spacing w:line="460" w:lineRule="exact"/>
        <w:ind w:left="540" w:hanging="540"/>
        <w:rPr>
          <w:rFonts w:ascii="宋体" w:hAnsi="宋体"/>
          <w:color w:val="000000" w:themeColor="text1"/>
          <w:sz w:val="22"/>
          <w:szCs w:val="22"/>
          <w14:textFill>
            <w14:solidFill>
              <w14:schemeClr w14:val="tx1"/>
            </w14:solidFill>
          </w14:textFill>
        </w:rPr>
      </w:pPr>
      <w:r>
        <w:rPr>
          <w:rFonts w:hint="eastAsia" w:ascii="宋体" w:hAnsi="宋体" w:cs="Arial"/>
          <w:b/>
          <w:bCs/>
          <w:color w:val="000000" w:themeColor="text1"/>
          <w:szCs w:val="21"/>
          <w14:textFill>
            <w14:solidFill>
              <w14:schemeClr w14:val="tx1"/>
            </w14:solidFill>
          </w14:textFill>
        </w:rPr>
        <w:t>▲</w:t>
      </w:r>
      <w:r>
        <w:rPr>
          <w:rFonts w:hint="eastAsia" w:ascii="宋体" w:hAnsi="宋体"/>
          <w:b/>
          <w:color w:val="000000" w:themeColor="text1"/>
          <w:sz w:val="22"/>
          <w:szCs w:val="22"/>
          <w:u w:val="single"/>
          <w14:textFill>
            <w14:solidFill>
              <w14:schemeClr w14:val="tx1"/>
            </w14:solidFill>
          </w14:textFill>
        </w:rPr>
        <w:t>投标人应提供技术资信标、商务标各一式六份的投标文件，分别装订成册。其中正本一份、副本五份，每套投标文件的封面应清楚标明“正本”或“副本”字样，若“正本”与“副本”不符，以“正本”为准。</w:t>
      </w:r>
    </w:p>
    <w:p>
      <w:pPr>
        <w:numPr>
          <w:ilvl w:val="1"/>
          <w:numId w:val="16"/>
        </w:numPr>
        <w:tabs>
          <w:tab w:val="left" w:pos="540"/>
          <w:tab w:val="clear" w:pos="992"/>
        </w:tabs>
        <w:spacing w:line="460" w:lineRule="exact"/>
        <w:ind w:left="540" w:hanging="540"/>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投标文件的正本必须打印或用不褪色的墨水书写，并由法定代表人或其授权代表签署，副本可用正本的复印。</w:t>
      </w:r>
    </w:p>
    <w:p>
      <w:pPr>
        <w:numPr>
          <w:ilvl w:val="1"/>
          <w:numId w:val="16"/>
        </w:numPr>
        <w:tabs>
          <w:tab w:val="left" w:pos="540"/>
          <w:tab w:val="clear" w:pos="992"/>
        </w:tabs>
        <w:spacing w:line="460" w:lineRule="exact"/>
        <w:ind w:left="540" w:hanging="540"/>
        <w:rPr>
          <w:rFonts w:ascii="宋体" w:hAnsi="宋体"/>
          <w:color w:val="000000" w:themeColor="text1"/>
          <w:sz w:val="22"/>
          <w:szCs w:val="22"/>
          <w14:textFill>
            <w14:solidFill>
              <w14:schemeClr w14:val="tx1"/>
            </w14:solidFill>
          </w14:textFill>
        </w:rPr>
      </w:pPr>
      <w:r>
        <w:rPr>
          <w:rFonts w:hint="eastAsia" w:ascii="宋体" w:hAnsi="宋体"/>
          <w:b/>
          <w:color w:val="000000" w:themeColor="text1"/>
          <w:sz w:val="22"/>
          <w:szCs w:val="22"/>
          <w14:textFill>
            <w14:solidFill>
              <w14:schemeClr w14:val="tx1"/>
            </w14:solidFill>
          </w14:textFill>
        </w:rPr>
        <w:t>投标文件如有修改和增删必须由投标文件签字人在修改和增删处旁签署或盖章，方才有效。</w:t>
      </w:r>
    </w:p>
    <w:p>
      <w:pPr>
        <w:numPr>
          <w:ilvl w:val="1"/>
          <w:numId w:val="16"/>
        </w:numPr>
        <w:tabs>
          <w:tab w:val="left" w:pos="540"/>
          <w:tab w:val="clear" w:pos="992"/>
        </w:tabs>
        <w:spacing w:line="460" w:lineRule="exact"/>
        <w:ind w:left="540" w:hanging="540"/>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投标文件字迹模糊或在关键的技术、商务条款上表述不清楚，将可能导致其投标被拒绝。</w:t>
      </w:r>
    </w:p>
    <w:p>
      <w:pPr>
        <w:numPr>
          <w:ilvl w:val="0"/>
          <w:numId w:val="7"/>
        </w:numPr>
        <w:tabs>
          <w:tab w:val="left" w:pos="540"/>
          <w:tab w:val="clear" w:pos="420"/>
        </w:tabs>
        <w:spacing w:line="460" w:lineRule="exact"/>
        <w:ind w:left="540" w:hanging="540"/>
        <w:rPr>
          <w:rFonts w:ascii="宋体" w:hAnsi="宋体"/>
          <w:color w:val="000000" w:themeColor="text1"/>
          <w:sz w:val="22"/>
          <w:szCs w:val="22"/>
          <w14:textFill>
            <w14:solidFill>
              <w14:schemeClr w14:val="tx1"/>
            </w14:solidFill>
          </w14:textFill>
        </w:rPr>
      </w:pPr>
      <w:r>
        <w:rPr>
          <w:rFonts w:hint="eastAsia" w:ascii="宋体" w:hAnsi="宋体"/>
          <w:bCs/>
          <w:color w:val="000000" w:themeColor="text1"/>
          <w:sz w:val="22"/>
          <w:szCs w:val="22"/>
          <w14:textFill>
            <w14:solidFill>
              <w14:schemeClr w14:val="tx1"/>
            </w14:solidFill>
          </w14:textFill>
        </w:rPr>
        <w:t>投标文件的密封及标记</w:t>
      </w:r>
    </w:p>
    <w:p>
      <w:pPr>
        <w:numPr>
          <w:ilvl w:val="1"/>
          <w:numId w:val="17"/>
        </w:numPr>
        <w:tabs>
          <w:tab w:val="left" w:pos="540"/>
          <w:tab w:val="clear" w:pos="992"/>
        </w:tabs>
        <w:spacing w:line="460" w:lineRule="exact"/>
        <w:ind w:left="540" w:hanging="540"/>
        <w:rPr>
          <w:rFonts w:ascii="宋体" w:hAnsi="宋体"/>
          <w:color w:val="000000" w:themeColor="text1"/>
          <w:sz w:val="22"/>
          <w:szCs w:val="22"/>
          <w14:textFill>
            <w14:solidFill>
              <w14:schemeClr w14:val="tx1"/>
            </w14:solidFill>
          </w14:textFill>
        </w:rPr>
      </w:pPr>
      <w:r>
        <w:rPr>
          <w:rFonts w:hint="eastAsia" w:ascii="宋体" w:hAnsi="宋体"/>
          <w:b/>
          <w:color w:val="000000" w:themeColor="text1"/>
          <w:sz w:val="22"/>
          <w:szCs w:val="22"/>
          <w14:textFill>
            <w14:solidFill>
              <w14:schemeClr w14:val="tx1"/>
            </w14:solidFill>
          </w14:textFill>
        </w:rPr>
        <w:t>投标人必须将投标文件的“技术资信标”、“商务标”分别密封，且在各自的密封袋上标明“技术资信标”、“商务标”字样。</w:t>
      </w:r>
    </w:p>
    <w:p>
      <w:pPr>
        <w:numPr>
          <w:ilvl w:val="1"/>
          <w:numId w:val="17"/>
        </w:numPr>
        <w:tabs>
          <w:tab w:val="left" w:pos="540"/>
          <w:tab w:val="clear" w:pos="992"/>
        </w:tabs>
        <w:spacing w:line="460" w:lineRule="exact"/>
        <w:ind w:left="540" w:hanging="540"/>
        <w:rPr>
          <w:rFonts w:ascii="宋体" w:hAnsi="宋体"/>
          <w:color w:val="000000" w:themeColor="text1"/>
          <w:sz w:val="22"/>
          <w:szCs w:val="22"/>
          <w14:textFill>
            <w14:solidFill>
              <w14:schemeClr w14:val="tx1"/>
            </w14:solidFill>
          </w14:textFill>
        </w:rPr>
      </w:pPr>
      <w:r>
        <w:rPr>
          <w:rFonts w:hint="eastAsia" w:ascii="宋体" w:hAnsi="宋体"/>
          <w:b/>
          <w:color w:val="000000" w:themeColor="text1"/>
          <w:sz w:val="22"/>
          <w:szCs w:val="22"/>
          <w:u w:val="single"/>
          <w14:textFill>
            <w14:solidFill>
              <w14:schemeClr w14:val="tx1"/>
            </w14:solidFill>
          </w14:textFill>
        </w:rPr>
        <w:t>如果投标人未按上述要求密封及加写标记，招标人对投标文件的误投和提前启封不负责任。</w:t>
      </w:r>
    </w:p>
    <w:p>
      <w:pPr>
        <w:spacing w:before="100" w:beforeAutospacing="1" w:after="100" w:afterAutospacing="1" w:line="440" w:lineRule="exact"/>
        <w:ind w:left="783" w:hanging="783" w:hangingChars="300"/>
        <w:jc w:val="center"/>
        <w:outlineLvl w:val="0"/>
        <w:rPr>
          <w:rFonts w:ascii="宋体" w:hAnsi="宋体"/>
          <w:color w:val="000000" w:themeColor="text1"/>
          <w:sz w:val="22"/>
          <w:szCs w:val="22"/>
          <w14:textFill>
            <w14:solidFill>
              <w14:schemeClr w14:val="tx1"/>
            </w14:solidFill>
          </w14:textFill>
        </w:rPr>
      </w:pPr>
      <w:bookmarkStart w:id="79" w:name="_Toc262105503"/>
      <w:bookmarkStart w:id="80" w:name="_Toc249758712"/>
      <w:bookmarkStart w:id="81" w:name="_Toc382360959"/>
      <w:bookmarkStart w:id="82" w:name="_Toc221356951"/>
      <w:bookmarkStart w:id="83" w:name="_Toc241404202"/>
      <w:bookmarkStart w:id="84" w:name="_Toc245722281"/>
      <w:bookmarkStart w:id="85" w:name="_Toc221423619"/>
      <w:bookmarkStart w:id="86" w:name="_Toc222114879"/>
      <w:bookmarkStart w:id="87" w:name="_Toc223715998"/>
      <w:bookmarkStart w:id="88" w:name="_Toc221356887"/>
      <w:bookmarkStart w:id="89" w:name="_Toc221374626"/>
      <w:bookmarkStart w:id="90" w:name="_Toc246261265"/>
      <w:bookmarkStart w:id="91" w:name="_Toc239145354"/>
      <w:bookmarkStart w:id="92" w:name="_Toc249758864"/>
      <w:bookmarkStart w:id="93" w:name="_Toc245191314"/>
      <w:bookmarkStart w:id="94" w:name="_Toc262049418"/>
      <w:r>
        <w:rPr>
          <w:rFonts w:hint="eastAsia" w:ascii="宋体" w:hAnsi="宋体"/>
          <w:b/>
          <w:bCs/>
          <w:color w:val="000000" w:themeColor="text1"/>
          <w:sz w:val="26"/>
          <w:szCs w:val="26"/>
          <w14:textFill>
            <w14:solidFill>
              <w14:schemeClr w14:val="tx1"/>
            </w14:solidFill>
          </w14:textFill>
        </w:rPr>
        <w:t>四、 投标文件的递交</w:t>
      </w:r>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p>
    <w:p>
      <w:pPr>
        <w:numPr>
          <w:ilvl w:val="0"/>
          <w:numId w:val="18"/>
        </w:numPr>
        <w:tabs>
          <w:tab w:val="left" w:pos="540"/>
          <w:tab w:val="clear" w:pos="420"/>
        </w:tabs>
        <w:spacing w:line="460" w:lineRule="exact"/>
        <w:rPr>
          <w:rFonts w:ascii="宋体" w:hAnsi="宋体" w:cs="Arial"/>
          <w:b/>
          <w:color w:val="000000" w:themeColor="text1"/>
          <w:sz w:val="22"/>
          <w:szCs w:val="22"/>
          <w14:textFill>
            <w14:solidFill>
              <w14:schemeClr w14:val="tx1"/>
            </w14:solidFill>
          </w14:textFill>
        </w:rPr>
      </w:pPr>
      <w:r>
        <w:rPr>
          <w:rFonts w:hint="eastAsia" w:ascii="宋体" w:hAnsi="宋体" w:cs="Arial"/>
          <w:bCs/>
          <w:color w:val="000000" w:themeColor="text1"/>
          <w:sz w:val="22"/>
          <w:szCs w:val="22"/>
          <w14:textFill>
            <w14:solidFill>
              <w14:schemeClr w14:val="tx1"/>
            </w14:solidFill>
          </w14:textFill>
        </w:rPr>
        <w:t>投标文件的递交</w:t>
      </w:r>
    </w:p>
    <w:p>
      <w:pPr>
        <w:numPr>
          <w:ilvl w:val="1"/>
          <w:numId w:val="19"/>
        </w:numPr>
        <w:tabs>
          <w:tab w:val="left" w:pos="540"/>
          <w:tab w:val="clear" w:pos="992"/>
        </w:tabs>
        <w:spacing w:line="460" w:lineRule="exact"/>
        <w:ind w:left="540" w:hanging="540"/>
        <w:rPr>
          <w:rFonts w:ascii="宋体" w:hAnsi="宋体" w:cs="Arial"/>
          <w:b/>
          <w:color w:val="000000" w:themeColor="text1"/>
          <w:sz w:val="22"/>
          <w:szCs w:val="22"/>
          <w14:textFill>
            <w14:solidFill>
              <w14:schemeClr w14:val="tx1"/>
            </w14:solidFill>
          </w14:textFill>
        </w:rPr>
      </w:pPr>
      <w:r>
        <w:rPr>
          <w:rFonts w:hint="eastAsia" w:ascii="宋体" w:hAnsi="宋体" w:cs="Arial"/>
          <w:b/>
          <w:bCs/>
          <w:color w:val="000000" w:themeColor="text1"/>
          <w:szCs w:val="21"/>
          <w14:textFill>
            <w14:solidFill>
              <w14:schemeClr w14:val="tx1"/>
            </w14:solidFill>
          </w14:textFill>
        </w:rPr>
        <w:t>▲</w:t>
      </w:r>
      <w:r>
        <w:rPr>
          <w:rFonts w:hint="eastAsia" w:ascii="宋体" w:hAnsi="宋体" w:cs="Arial"/>
          <w:b/>
          <w:color w:val="000000" w:themeColor="text1"/>
          <w:sz w:val="22"/>
          <w:szCs w:val="22"/>
          <w:u w:val="single"/>
          <w14:textFill>
            <w14:solidFill>
              <w14:schemeClr w14:val="tx1"/>
            </w14:solidFill>
          </w14:textFill>
        </w:rPr>
        <w:t>投标文件必须在规定的投标截止时间前送达到指定的收标地点</w:t>
      </w:r>
      <w:r>
        <w:rPr>
          <w:rFonts w:hint="eastAsia" w:ascii="宋体" w:hAnsi="宋体" w:cs="Arial"/>
          <w:b/>
          <w:color w:val="000000" w:themeColor="text1"/>
          <w:sz w:val="22"/>
          <w:szCs w:val="22"/>
          <w14:textFill>
            <w14:solidFill>
              <w14:schemeClr w14:val="tx1"/>
            </w14:solidFill>
          </w14:textFill>
        </w:rPr>
        <w:t>；</w:t>
      </w:r>
    </w:p>
    <w:p>
      <w:pPr>
        <w:numPr>
          <w:ilvl w:val="1"/>
          <w:numId w:val="19"/>
        </w:numPr>
        <w:tabs>
          <w:tab w:val="left" w:pos="540"/>
          <w:tab w:val="clear" w:pos="992"/>
        </w:tabs>
        <w:spacing w:line="460" w:lineRule="exact"/>
        <w:ind w:left="540" w:hanging="540"/>
        <w:rPr>
          <w:rFonts w:ascii="宋体" w:hAnsi="宋体" w:cs="Arial"/>
          <w:b/>
          <w:color w:val="000000" w:themeColor="text1"/>
          <w:sz w:val="22"/>
          <w:szCs w:val="22"/>
          <w14:textFill>
            <w14:solidFill>
              <w14:schemeClr w14:val="tx1"/>
            </w14:solidFill>
          </w14:textFill>
        </w:rPr>
      </w:pPr>
      <w:r>
        <w:rPr>
          <w:rFonts w:hint="eastAsia" w:ascii="宋体" w:hAnsi="宋体" w:cs="Arial"/>
          <w:b/>
          <w:color w:val="000000" w:themeColor="text1"/>
          <w:sz w:val="22"/>
          <w:szCs w:val="22"/>
          <w14:textFill>
            <w14:solidFill>
              <w14:schemeClr w14:val="tx1"/>
            </w14:solidFill>
          </w14:textFill>
        </w:rPr>
        <w:t>▲</w:t>
      </w:r>
      <w:r>
        <w:rPr>
          <w:rFonts w:hint="eastAsia" w:ascii="宋体" w:hAnsi="宋体" w:cs="Arial"/>
          <w:b/>
          <w:color w:val="000000" w:themeColor="text1"/>
          <w:sz w:val="22"/>
          <w:szCs w:val="22"/>
          <w:u w:val="single"/>
          <w14:textFill>
            <w14:solidFill>
              <w14:schemeClr w14:val="tx1"/>
            </w14:solidFill>
          </w14:textFill>
        </w:rPr>
        <w:t>投标人如是法定代表人参加投标的，同时递交投标保证金、法定代表人有效身份证明（原件）、企业/事业单位法人营业执照复印件，由评标委员会确认投标资格</w:t>
      </w:r>
      <w:r>
        <w:rPr>
          <w:rFonts w:hint="eastAsia" w:ascii="宋体" w:hAnsi="宋体" w:cs="Arial"/>
          <w:b/>
          <w:color w:val="000000" w:themeColor="text1"/>
          <w:sz w:val="22"/>
          <w:szCs w:val="22"/>
          <w14:textFill>
            <w14:solidFill>
              <w14:schemeClr w14:val="tx1"/>
            </w14:solidFill>
          </w14:textFill>
        </w:rPr>
        <w:t>；</w:t>
      </w:r>
    </w:p>
    <w:p>
      <w:pPr>
        <w:numPr>
          <w:ilvl w:val="1"/>
          <w:numId w:val="19"/>
        </w:numPr>
        <w:tabs>
          <w:tab w:val="left" w:pos="540"/>
          <w:tab w:val="clear" w:pos="992"/>
        </w:tabs>
        <w:spacing w:line="460" w:lineRule="exact"/>
        <w:ind w:left="540" w:hanging="540"/>
        <w:rPr>
          <w:rFonts w:ascii="宋体" w:hAnsi="宋体"/>
          <w:b/>
          <w:color w:val="000000" w:themeColor="text1"/>
          <w:sz w:val="22"/>
          <w:szCs w:val="22"/>
          <w14:textFill>
            <w14:solidFill>
              <w14:schemeClr w14:val="tx1"/>
            </w14:solidFill>
          </w14:textFill>
        </w:rPr>
      </w:pPr>
      <w:r>
        <w:rPr>
          <w:rFonts w:hint="eastAsia" w:ascii="宋体" w:hAnsi="宋体" w:cs="Arial"/>
          <w:b/>
          <w:color w:val="000000" w:themeColor="text1"/>
          <w:sz w:val="22"/>
          <w:szCs w:val="22"/>
          <w14:textFill>
            <w14:solidFill>
              <w14:schemeClr w14:val="tx1"/>
            </w14:solidFill>
          </w14:textFill>
        </w:rPr>
        <w:t>▲</w:t>
      </w:r>
      <w:r>
        <w:rPr>
          <w:rFonts w:hint="eastAsia" w:ascii="宋体" w:hAnsi="宋体" w:cs="Arial"/>
          <w:b/>
          <w:color w:val="000000" w:themeColor="text1"/>
          <w:sz w:val="22"/>
          <w:szCs w:val="22"/>
          <w:u w:val="single"/>
          <w14:textFill>
            <w14:solidFill>
              <w14:schemeClr w14:val="tx1"/>
            </w14:solidFill>
          </w14:textFill>
        </w:rPr>
        <w:t>投标人如是授权代表参加投标的，同时递交投标保证金、法定代表人授权书（原件）、授权代表有效身份证明（原件）、企业/事业单位法人营业执照复印件，由评标委员会确认投标资格。</w:t>
      </w:r>
    </w:p>
    <w:p>
      <w:pPr>
        <w:numPr>
          <w:ilvl w:val="1"/>
          <w:numId w:val="19"/>
        </w:numPr>
        <w:tabs>
          <w:tab w:val="left" w:pos="540"/>
          <w:tab w:val="clear" w:pos="992"/>
        </w:tabs>
        <w:spacing w:line="460" w:lineRule="exact"/>
        <w:ind w:left="540" w:hanging="540"/>
        <w:rPr>
          <w:rFonts w:ascii="宋体" w:hAnsi="宋体"/>
          <w:b/>
          <w:color w:val="000000" w:themeColor="text1"/>
          <w:sz w:val="22"/>
          <w:szCs w:val="22"/>
          <w:u w:val="single"/>
          <w14:textFill>
            <w14:solidFill>
              <w14:schemeClr w14:val="tx1"/>
            </w14:solidFill>
          </w14:textFill>
        </w:rPr>
      </w:pPr>
      <w:r>
        <w:rPr>
          <w:rFonts w:hint="eastAsia" w:ascii="宋体" w:hAnsi="宋体" w:cs="Arial"/>
          <w:b/>
          <w:color w:val="000000" w:themeColor="text1"/>
          <w:sz w:val="22"/>
          <w:szCs w:val="22"/>
          <w:u w:val="single"/>
          <w14:textFill>
            <w14:solidFill>
              <w14:schemeClr w14:val="tx1"/>
            </w14:solidFill>
          </w14:textFill>
        </w:rPr>
        <w:t>▲投标人若声明法人代表授权书、企业/事业单位法人营业执照复印件封于投标文件内，同样有效，评标时由评标委员会确认资格。</w:t>
      </w:r>
    </w:p>
    <w:p>
      <w:pPr>
        <w:numPr>
          <w:ilvl w:val="0"/>
          <w:numId w:val="18"/>
        </w:numPr>
        <w:tabs>
          <w:tab w:val="left" w:pos="540"/>
          <w:tab w:val="clear" w:pos="420"/>
        </w:tabs>
        <w:spacing w:line="460" w:lineRule="exact"/>
        <w:rPr>
          <w:rFonts w:ascii="宋体" w:hAnsi="宋体"/>
          <w:bCs/>
          <w:color w:val="000000" w:themeColor="text1"/>
          <w:sz w:val="22"/>
          <w:szCs w:val="22"/>
          <w14:textFill>
            <w14:solidFill>
              <w14:schemeClr w14:val="tx1"/>
            </w14:solidFill>
          </w14:textFill>
        </w:rPr>
      </w:pPr>
      <w:r>
        <w:rPr>
          <w:rFonts w:hint="eastAsia" w:ascii="宋体" w:hAnsi="宋体" w:cs="Arial"/>
          <w:bCs/>
          <w:color w:val="000000" w:themeColor="text1"/>
          <w:sz w:val="22"/>
          <w:szCs w:val="22"/>
          <w14:textFill>
            <w14:solidFill>
              <w14:schemeClr w14:val="tx1"/>
            </w14:solidFill>
          </w14:textFill>
        </w:rPr>
        <w:t>投标文件的修改和撤回</w:t>
      </w:r>
    </w:p>
    <w:p>
      <w:pPr>
        <w:numPr>
          <w:ilvl w:val="1"/>
          <w:numId w:val="20"/>
        </w:numPr>
        <w:tabs>
          <w:tab w:val="left" w:pos="540"/>
          <w:tab w:val="clear" w:pos="992"/>
        </w:tabs>
        <w:spacing w:line="460" w:lineRule="exact"/>
        <w:ind w:left="540" w:hanging="540"/>
        <w:rPr>
          <w:rFonts w:ascii="宋体" w:hAnsi="宋体"/>
          <w:bCs/>
          <w:color w:val="000000" w:themeColor="text1"/>
          <w:sz w:val="22"/>
          <w:szCs w:val="22"/>
          <w14:textFill>
            <w14:solidFill>
              <w14:schemeClr w14:val="tx1"/>
            </w14:solidFill>
          </w14:textFill>
        </w:rPr>
      </w:pPr>
      <w:r>
        <w:rPr>
          <w:rFonts w:hint="eastAsia" w:ascii="宋体" w:hAnsi="宋体"/>
          <w:b/>
          <w:color w:val="000000" w:themeColor="text1"/>
          <w:sz w:val="22"/>
          <w:szCs w:val="22"/>
          <w14:textFill>
            <w14:solidFill>
              <w14:schemeClr w14:val="tx1"/>
            </w14:solidFill>
          </w14:textFill>
        </w:rPr>
        <w:t>在投标截止时间前，投标人可以用书面形式提出修改或撤回其投标并送达到招标人，但不得影响开标活动的正常进行。</w:t>
      </w:r>
    </w:p>
    <w:p>
      <w:pPr>
        <w:numPr>
          <w:ilvl w:val="1"/>
          <w:numId w:val="20"/>
        </w:numPr>
        <w:tabs>
          <w:tab w:val="left" w:pos="540"/>
          <w:tab w:val="clear" w:pos="992"/>
        </w:tabs>
        <w:spacing w:line="460" w:lineRule="exact"/>
        <w:ind w:left="540" w:hanging="540"/>
        <w:rPr>
          <w:rFonts w:ascii="宋体" w:hAnsi="宋体"/>
          <w:color w:val="000000" w:themeColor="text1"/>
          <w:sz w:val="22"/>
          <w:szCs w:val="22"/>
          <w14:textFill>
            <w14:solidFill>
              <w14:schemeClr w14:val="tx1"/>
            </w14:solidFill>
          </w14:textFill>
        </w:rPr>
      </w:pPr>
      <w:r>
        <w:rPr>
          <w:rFonts w:hint="eastAsia" w:ascii="宋体" w:hAnsi="宋体"/>
          <w:bCs/>
          <w:color w:val="000000" w:themeColor="text1"/>
          <w:sz w:val="22"/>
          <w:szCs w:val="22"/>
          <w14:textFill>
            <w14:solidFill>
              <w14:schemeClr w14:val="tx1"/>
            </w14:solidFill>
          </w14:textFill>
        </w:rPr>
        <w:t>“投标文件修改”或“投标文件撤回通知”都应密封并在密封袋上写明投标项目名称、编号、投标单位名称，并注明“投标文件修改”或“投标文件撤回通知”字样。</w:t>
      </w:r>
    </w:p>
    <w:p>
      <w:pPr>
        <w:numPr>
          <w:ilvl w:val="1"/>
          <w:numId w:val="20"/>
        </w:numPr>
        <w:tabs>
          <w:tab w:val="left" w:pos="540"/>
          <w:tab w:val="clear" w:pos="992"/>
        </w:tabs>
        <w:spacing w:line="460" w:lineRule="exact"/>
        <w:ind w:left="540" w:hanging="540"/>
        <w:rPr>
          <w:rFonts w:ascii="宋体" w:hAnsi="宋体"/>
          <w:color w:val="000000" w:themeColor="text1"/>
          <w:sz w:val="22"/>
          <w:szCs w:val="22"/>
          <w14:textFill>
            <w14:solidFill>
              <w14:schemeClr w14:val="tx1"/>
            </w14:solidFill>
          </w14:textFill>
        </w:rPr>
      </w:pPr>
      <w:r>
        <w:rPr>
          <w:rFonts w:hint="eastAsia" w:ascii="宋体" w:hAnsi="宋体"/>
          <w:bCs/>
          <w:color w:val="000000" w:themeColor="text1"/>
          <w:sz w:val="22"/>
          <w:szCs w:val="22"/>
          <w14:textFill>
            <w14:solidFill>
              <w14:schemeClr w14:val="tx1"/>
            </w14:solidFill>
          </w14:textFill>
        </w:rPr>
        <w:t>从投标截止日期起至投标有效期满这段时间内，投标人不得撤回其投标，否则投标保证金将</w:t>
      </w:r>
      <w:r>
        <w:rPr>
          <w:rFonts w:hint="eastAsia" w:ascii="宋体" w:hAnsi="宋体"/>
          <w:color w:val="000000" w:themeColor="text1"/>
          <w:sz w:val="22"/>
          <w:szCs w:val="22"/>
          <w14:textFill>
            <w14:solidFill>
              <w14:schemeClr w14:val="tx1"/>
            </w14:solidFill>
          </w14:textFill>
        </w:rPr>
        <w:t>被不予退还。</w:t>
      </w:r>
    </w:p>
    <w:p>
      <w:pPr>
        <w:numPr>
          <w:ilvl w:val="0"/>
          <w:numId w:val="18"/>
        </w:numPr>
        <w:tabs>
          <w:tab w:val="left" w:pos="540"/>
          <w:tab w:val="clear" w:pos="420"/>
        </w:tabs>
        <w:spacing w:line="460" w:lineRule="exact"/>
        <w:rPr>
          <w:rFonts w:ascii="宋体" w:hAnsi="宋体"/>
          <w:b/>
          <w:color w:val="000000" w:themeColor="text1"/>
          <w:sz w:val="22"/>
          <w:szCs w:val="22"/>
          <w14:textFill>
            <w14:solidFill>
              <w14:schemeClr w14:val="tx1"/>
            </w14:solidFill>
          </w14:textFill>
        </w:rPr>
      </w:pPr>
      <w:r>
        <w:rPr>
          <w:rFonts w:hint="eastAsia" w:ascii="宋体" w:hAnsi="宋体" w:cs="Arial"/>
          <w:b/>
          <w:bCs/>
          <w:color w:val="000000" w:themeColor="text1"/>
          <w:szCs w:val="21"/>
          <w14:textFill>
            <w14:solidFill>
              <w14:schemeClr w14:val="tx1"/>
            </w14:solidFill>
          </w14:textFill>
        </w:rPr>
        <w:t>▲</w:t>
      </w:r>
      <w:r>
        <w:rPr>
          <w:rFonts w:hint="eastAsia" w:ascii="宋体" w:hAnsi="宋体" w:cs="Arial"/>
          <w:b/>
          <w:bCs/>
          <w:color w:val="000000" w:themeColor="text1"/>
          <w:sz w:val="22"/>
          <w:szCs w:val="22"/>
          <w:u w:val="single"/>
          <w14:textFill>
            <w14:solidFill>
              <w14:schemeClr w14:val="tx1"/>
            </w14:solidFill>
          </w14:textFill>
        </w:rPr>
        <w:t>发生下列情况之一的投标文件将拒收：</w:t>
      </w:r>
    </w:p>
    <w:p>
      <w:pPr>
        <w:numPr>
          <w:ilvl w:val="1"/>
          <w:numId w:val="21"/>
        </w:numPr>
        <w:tabs>
          <w:tab w:val="left" w:pos="540"/>
          <w:tab w:val="clear" w:pos="992"/>
        </w:tabs>
        <w:spacing w:line="460" w:lineRule="exact"/>
        <w:ind w:left="540" w:hanging="540"/>
        <w:rPr>
          <w:rFonts w:ascii="宋体" w:hAnsi="宋体"/>
          <w:b/>
          <w:color w:val="000000" w:themeColor="text1"/>
          <w:sz w:val="22"/>
          <w:szCs w:val="22"/>
          <w:u w:val="single"/>
          <w14:textFill>
            <w14:solidFill>
              <w14:schemeClr w14:val="tx1"/>
            </w14:solidFill>
          </w14:textFill>
        </w:rPr>
      </w:pPr>
      <w:r>
        <w:rPr>
          <w:rFonts w:hint="eastAsia" w:ascii="宋体" w:hAnsi="宋体"/>
          <w:b/>
          <w:bCs/>
          <w:color w:val="000000" w:themeColor="text1"/>
          <w:sz w:val="22"/>
          <w:szCs w:val="22"/>
          <w:u w:val="single"/>
          <w14:textFill>
            <w14:solidFill>
              <w14:schemeClr w14:val="tx1"/>
            </w14:solidFill>
          </w14:textFill>
        </w:rPr>
        <w:t>在投标截止时间以后送达的投标文件；</w:t>
      </w:r>
    </w:p>
    <w:p>
      <w:pPr>
        <w:numPr>
          <w:ilvl w:val="1"/>
          <w:numId w:val="21"/>
        </w:numPr>
        <w:tabs>
          <w:tab w:val="left" w:pos="540"/>
          <w:tab w:val="clear" w:pos="992"/>
        </w:tabs>
        <w:spacing w:line="460" w:lineRule="exact"/>
        <w:ind w:left="540" w:hanging="540"/>
        <w:rPr>
          <w:rFonts w:ascii="宋体" w:hAnsi="宋体"/>
          <w:b/>
          <w:color w:val="000000" w:themeColor="text1"/>
          <w:sz w:val="22"/>
          <w:szCs w:val="22"/>
          <w:u w:val="single"/>
          <w14:textFill>
            <w14:solidFill>
              <w14:schemeClr w14:val="tx1"/>
            </w14:solidFill>
          </w14:textFill>
        </w:rPr>
      </w:pPr>
      <w:r>
        <w:rPr>
          <w:rFonts w:hint="eastAsia" w:ascii="宋体" w:hAnsi="宋体"/>
          <w:b/>
          <w:bCs/>
          <w:color w:val="000000" w:themeColor="text1"/>
          <w:sz w:val="22"/>
          <w:szCs w:val="22"/>
          <w:u w:val="single"/>
          <w14:textFill>
            <w14:solidFill>
              <w14:schemeClr w14:val="tx1"/>
            </w14:solidFill>
          </w14:textFill>
        </w:rPr>
        <w:t>未购买招标文件；</w:t>
      </w:r>
    </w:p>
    <w:p>
      <w:pPr>
        <w:numPr>
          <w:ilvl w:val="1"/>
          <w:numId w:val="21"/>
        </w:numPr>
        <w:tabs>
          <w:tab w:val="left" w:pos="540"/>
          <w:tab w:val="clear" w:pos="992"/>
        </w:tabs>
        <w:spacing w:line="460" w:lineRule="exact"/>
        <w:ind w:left="540" w:hanging="540"/>
        <w:rPr>
          <w:rFonts w:ascii="宋体" w:hAnsi="宋体"/>
          <w:b/>
          <w:color w:val="000000" w:themeColor="text1"/>
          <w:sz w:val="22"/>
          <w:szCs w:val="22"/>
          <w:u w:val="single"/>
          <w14:textFill>
            <w14:solidFill>
              <w14:schemeClr w14:val="tx1"/>
            </w14:solidFill>
          </w14:textFill>
        </w:rPr>
      </w:pPr>
      <w:r>
        <w:rPr>
          <w:rFonts w:hint="eastAsia" w:ascii="宋体" w:hAnsi="宋体"/>
          <w:b/>
          <w:color w:val="000000" w:themeColor="text1"/>
          <w:sz w:val="22"/>
          <w:szCs w:val="22"/>
          <w:u w:val="single"/>
          <w14:textFill>
            <w14:solidFill>
              <w14:schemeClr w14:val="tx1"/>
            </w14:solidFill>
          </w14:textFill>
        </w:rPr>
        <w:t>未递交投标保证金；</w:t>
      </w:r>
    </w:p>
    <w:p>
      <w:pPr>
        <w:numPr>
          <w:ilvl w:val="1"/>
          <w:numId w:val="21"/>
        </w:numPr>
        <w:tabs>
          <w:tab w:val="left" w:pos="540"/>
          <w:tab w:val="clear" w:pos="992"/>
        </w:tabs>
        <w:spacing w:line="460" w:lineRule="exact"/>
        <w:ind w:left="540" w:hanging="540"/>
        <w:rPr>
          <w:rFonts w:ascii="宋体" w:hAnsi="宋体"/>
          <w:b/>
          <w:color w:val="000000" w:themeColor="text1"/>
          <w:sz w:val="22"/>
          <w:szCs w:val="22"/>
          <w:u w:val="single"/>
          <w14:textFill>
            <w14:solidFill>
              <w14:schemeClr w14:val="tx1"/>
            </w14:solidFill>
          </w14:textFill>
        </w:rPr>
      </w:pPr>
      <w:r>
        <w:rPr>
          <w:rFonts w:hint="eastAsia" w:ascii="宋体" w:hAnsi="宋体"/>
          <w:b/>
          <w:color w:val="000000" w:themeColor="text1"/>
          <w:sz w:val="22"/>
          <w:szCs w:val="22"/>
          <w:u w:val="single"/>
          <w14:textFill>
            <w14:solidFill>
              <w14:schemeClr w14:val="tx1"/>
            </w14:solidFill>
          </w14:textFill>
        </w:rPr>
        <w:t>未密封或未装订的投标文件及由于包装不妥在送达途中严重破损或失散的投标文件；</w:t>
      </w:r>
    </w:p>
    <w:p>
      <w:pPr>
        <w:numPr>
          <w:ilvl w:val="1"/>
          <w:numId w:val="21"/>
        </w:numPr>
        <w:tabs>
          <w:tab w:val="left" w:pos="540"/>
          <w:tab w:val="clear" w:pos="992"/>
        </w:tabs>
        <w:spacing w:line="460" w:lineRule="exact"/>
        <w:ind w:left="540" w:hanging="540"/>
        <w:rPr>
          <w:rFonts w:ascii="宋体" w:hAnsi="宋体"/>
          <w:b/>
          <w:color w:val="000000" w:themeColor="text1"/>
          <w:sz w:val="22"/>
          <w:szCs w:val="22"/>
          <w14:textFill>
            <w14:solidFill>
              <w14:schemeClr w14:val="tx1"/>
            </w14:solidFill>
          </w14:textFill>
        </w:rPr>
      </w:pPr>
      <w:r>
        <w:rPr>
          <w:rFonts w:hint="eastAsia" w:ascii="宋体" w:hAnsi="宋体"/>
          <w:b/>
          <w:color w:val="000000" w:themeColor="text1"/>
          <w:sz w:val="22"/>
          <w:szCs w:val="22"/>
          <w:u w:val="single"/>
          <w14:textFill>
            <w14:solidFill>
              <w14:schemeClr w14:val="tx1"/>
            </w14:solidFill>
          </w14:textFill>
        </w:rPr>
        <w:t>以电讯形式递交的投标文件。</w:t>
      </w:r>
    </w:p>
    <w:p>
      <w:pPr>
        <w:tabs>
          <w:tab w:val="left" w:pos="360"/>
          <w:tab w:val="left" w:pos="540"/>
          <w:tab w:val="left" w:pos="1260"/>
        </w:tabs>
        <w:spacing w:before="100" w:beforeAutospacing="1" w:after="100" w:afterAutospacing="1" w:line="440" w:lineRule="exact"/>
        <w:ind w:left="919" w:hanging="919" w:hangingChars="352"/>
        <w:jc w:val="center"/>
        <w:outlineLvl w:val="0"/>
        <w:rPr>
          <w:rFonts w:ascii="宋体" w:hAnsi="宋体"/>
          <w:color w:val="000000" w:themeColor="text1"/>
          <w:sz w:val="22"/>
          <w:szCs w:val="22"/>
          <w14:textFill>
            <w14:solidFill>
              <w14:schemeClr w14:val="tx1"/>
            </w14:solidFill>
          </w14:textFill>
        </w:rPr>
      </w:pPr>
      <w:bookmarkStart w:id="95" w:name="_Toc221356952"/>
      <w:bookmarkStart w:id="96" w:name="_Toc239145355"/>
      <w:bookmarkStart w:id="97" w:name="_Toc246261266"/>
      <w:bookmarkStart w:id="98" w:name="_Toc245722282"/>
      <w:bookmarkStart w:id="99" w:name="_Toc245191315"/>
      <w:bookmarkStart w:id="100" w:name="_Toc382360960"/>
      <w:bookmarkStart w:id="101" w:name="_Toc262105504"/>
      <w:bookmarkStart w:id="102" w:name="_Toc223715999"/>
      <w:bookmarkStart w:id="103" w:name="_Toc249758713"/>
      <w:bookmarkStart w:id="104" w:name="_Toc222114880"/>
      <w:bookmarkStart w:id="105" w:name="_Toc221374627"/>
      <w:bookmarkStart w:id="106" w:name="_Toc221356888"/>
      <w:bookmarkStart w:id="107" w:name="_Toc221423620"/>
      <w:bookmarkStart w:id="108" w:name="_Toc262049419"/>
      <w:bookmarkStart w:id="109" w:name="_Toc241404203"/>
      <w:bookmarkStart w:id="110" w:name="_Toc249758865"/>
      <w:r>
        <w:rPr>
          <w:rFonts w:hint="eastAsia" w:ascii="宋体" w:hAnsi="宋体"/>
          <w:b/>
          <w:bCs/>
          <w:color w:val="000000" w:themeColor="text1"/>
          <w:sz w:val="26"/>
          <w:szCs w:val="26"/>
          <w14:textFill>
            <w14:solidFill>
              <w14:schemeClr w14:val="tx1"/>
            </w14:solidFill>
          </w14:textFill>
        </w:rPr>
        <w:t>五、 开标和评标</w:t>
      </w:r>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p>
    <w:p>
      <w:pPr>
        <w:numPr>
          <w:ilvl w:val="0"/>
          <w:numId w:val="22"/>
        </w:numPr>
        <w:tabs>
          <w:tab w:val="left" w:pos="540"/>
          <w:tab w:val="clear" w:pos="420"/>
        </w:tabs>
        <w:spacing w:line="440" w:lineRule="exact"/>
        <w:rPr>
          <w:rFonts w:ascii="宋体" w:hAnsi="宋体" w:cs="Arial"/>
          <w:bCs/>
          <w:color w:val="000000" w:themeColor="text1"/>
          <w:sz w:val="22"/>
          <w:szCs w:val="22"/>
          <w14:textFill>
            <w14:solidFill>
              <w14:schemeClr w14:val="tx1"/>
            </w14:solidFill>
          </w14:textFill>
        </w:rPr>
      </w:pPr>
      <w:r>
        <w:rPr>
          <w:rFonts w:hint="eastAsia" w:ascii="宋体" w:hAnsi="宋体" w:cs="Arial"/>
          <w:bCs/>
          <w:color w:val="000000" w:themeColor="text1"/>
          <w:sz w:val="22"/>
          <w:szCs w:val="22"/>
          <w14:textFill>
            <w14:solidFill>
              <w14:schemeClr w14:val="tx1"/>
            </w14:solidFill>
          </w14:textFill>
        </w:rPr>
        <w:t>评标委员会</w:t>
      </w:r>
    </w:p>
    <w:p>
      <w:pPr>
        <w:spacing w:line="440" w:lineRule="exact"/>
        <w:ind w:left="540" w:leftChars="257"/>
        <w:rPr>
          <w:rFonts w:ascii="宋体" w:hAnsi="宋体"/>
          <w:bCs/>
          <w:color w:val="000000" w:themeColor="text1"/>
          <w:sz w:val="22"/>
          <w:szCs w:val="22"/>
          <w14:textFill>
            <w14:solidFill>
              <w14:schemeClr w14:val="tx1"/>
            </w14:solidFill>
          </w14:textFill>
        </w:rPr>
      </w:pPr>
      <w:r>
        <w:rPr>
          <w:rFonts w:hint="eastAsia" w:ascii="宋体" w:hAnsi="宋体"/>
          <w:bCs/>
          <w:color w:val="000000" w:themeColor="text1"/>
          <w:sz w:val="22"/>
          <w:szCs w:val="22"/>
          <w14:textFill>
            <w14:solidFill>
              <w14:schemeClr w14:val="tx1"/>
            </w14:solidFill>
          </w14:textFill>
        </w:rPr>
        <w:t>招标人依法组建评标委员会。评标委员会的成员在评标过程中必须严格遵守《温州市国有企业采购管理办法（试行）》等有关法律、法规的规定。</w:t>
      </w:r>
    </w:p>
    <w:p>
      <w:pPr>
        <w:numPr>
          <w:ilvl w:val="0"/>
          <w:numId w:val="22"/>
        </w:numPr>
        <w:tabs>
          <w:tab w:val="left" w:pos="540"/>
          <w:tab w:val="clear" w:pos="420"/>
        </w:tabs>
        <w:spacing w:line="440" w:lineRule="exact"/>
        <w:rPr>
          <w:rFonts w:ascii="宋体" w:hAnsi="宋体" w:cs="Arial"/>
          <w:bCs/>
          <w:color w:val="000000" w:themeColor="text1"/>
          <w:sz w:val="22"/>
          <w:szCs w:val="22"/>
          <w14:textFill>
            <w14:solidFill>
              <w14:schemeClr w14:val="tx1"/>
            </w14:solidFill>
          </w14:textFill>
        </w:rPr>
      </w:pPr>
      <w:r>
        <w:rPr>
          <w:rFonts w:hint="eastAsia" w:ascii="宋体" w:hAnsi="宋体" w:cs="Arial"/>
          <w:bCs/>
          <w:color w:val="000000" w:themeColor="text1"/>
          <w:sz w:val="22"/>
          <w:szCs w:val="22"/>
          <w14:textFill>
            <w14:solidFill>
              <w14:schemeClr w14:val="tx1"/>
            </w14:solidFill>
          </w14:textFill>
        </w:rPr>
        <w:t>评标过程的保密性</w:t>
      </w:r>
    </w:p>
    <w:p>
      <w:pPr>
        <w:spacing w:line="440" w:lineRule="exact"/>
        <w:ind w:left="540" w:leftChars="257"/>
        <w:rPr>
          <w:rFonts w:ascii="宋体" w:hAnsi="宋体"/>
          <w:b/>
          <w:bCs/>
          <w:color w:val="000000" w:themeColor="text1"/>
          <w:sz w:val="22"/>
          <w:szCs w:val="22"/>
          <w14:textFill>
            <w14:solidFill>
              <w14:schemeClr w14:val="tx1"/>
            </w14:solidFill>
          </w14:textFill>
        </w:rPr>
      </w:pPr>
      <w:r>
        <w:rPr>
          <w:rFonts w:hint="eastAsia" w:ascii="宋体" w:hAnsi="宋体"/>
          <w:b/>
          <w:bCs/>
          <w:color w:val="000000" w:themeColor="text1"/>
          <w:sz w:val="22"/>
          <w:szCs w:val="22"/>
          <w14:textFill>
            <w14:solidFill>
              <w14:schemeClr w14:val="tx1"/>
            </w14:solidFill>
          </w14:textFill>
        </w:rPr>
        <w:t>开标后直至向中标人授予合同时止，凡与评审有关的资料均不得向投标人及与评标无关人员透露。如果投标人在评标过程中试图向招标人和评标委员会施加影响，其投标将被拒绝。</w:t>
      </w:r>
    </w:p>
    <w:p>
      <w:pPr>
        <w:numPr>
          <w:ilvl w:val="0"/>
          <w:numId w:val="22"/>
        </w:numPr>
        <w:tabs>
          <w:tab w:val="left" w:pos="540"/>
          <w:tab w:val="clear" w:pos="420"/>
        </w:tabs>
        <w:spacing w:line="440" w:lineRule="exact"/>
        <w:rPr>
          <w:rFonts w:ascii="宋体" w:hAnsi="宋体"/>
          <w:b/>
          <w:bCs/>
          <w:color w:val="000000" w:themeColor="text1"/>
          <w:sz w:val="22"/>
          <w:szCs w:val="22"/>
          <w14:textFill>
            <w14:solidFill>
              <w14:schemeClr w14:val="tx1"/>
            </w14:solidFill>
          </w14:textFill>
        </w:rPr>
      </w:pPr>
      <w:r>
        <w:rPr>
          <w:rFonts w:hint="eastAsia" w:ascii="宋体" w:hAnsi="宋体" w:cs="Arial"/>
          <w:bCs/>
          <w:color w:val="000000" w:themeColor="text1"/>
          <w:sz w:val="22"/>
          <w:szCs w:val="22"/>
          <w14:textFill>
            <w14:solidFill>
              <w14:schemeClr w14:val="tx1"/>
            </w14:solidFill>
          </w14:textFill>
        </w:rPr>
        <w:t>开标、评标</w:t>
      </w:r>
    </w:p>
    <w:p>
      <w:pPr>
        <w:numPr>
          <w:ilvl w:val="1"/>
          <w:numId w:val="23"/>
        </w:numPr>
        <w:tabs>
          <w:tab w:val="left" w:pos="540"/>
          <w:tab w:val="clear" w:pos="992"/>
        </w:tabs>
        <w:spacing w:line="440" w:lineRule="exact"/>
        <w:ind w:left="540" w:hanging="540"/>
        <w:rPr>
          <w:rFonts w:ascii="宋体" w:hAnsi="宋体" w:cs="Arial"/>
          <w:b/>
          <w:bCs/>
          <w:color w:val="000000" w:themeColor="text1"/>
          <w:sz w:val="22"/>
          <w:szCs w:val="22"/>
          <w14:textFill>
            <w14:solidFill>
              <w14:schemeClr w14:val="tx1"/>
            </w14:solidFill>
          </w14:textFill>
        </w:rPr>
      </w:pPr>
      <w:r>
        <w:rPr>
          <w:rFonts w:hint="eastAsia" w:ascii="宋体" w:hAnsi="宋体"/>
          <w:bCs/>
          <w:color w:val="000000" w:themeColor="text1"/>
          <w:sz w:val="22"/>
          <w:szCs w:val="22"/>
          <w14:textFill>
            <w14:solidFill>
              <w14:schemeClr w14:val="tx1"/>
            </w14:solidFill>
          </w14:textFill>
        </w:rPr>
        <w:t>招标人按招标文件规定的时间、地点开启“技术资信”标。开标前，首先检查技术资信标的密封情况，确认无误后开启“技术资信标”，然后由评标委员会对各投标人的合格投标人的条件、法定代表人授权书、投标保证金、投标人有效身份证件和企业/事业单位法人营业执照进行资格性审查确认。</w:t>
      </w:r>
      <w:r>
        <w:rPr>
          <w:rFonts w:hint="eastAsia" w:ascii="宋体" w:hAnsi="宋体" w:cs="Arial"/>
          <w:b/>
          <w:bCs/>
          <w:color w:val="000000" w:themeColor="text1"/>
          <w:szCs w:val="21"/>
          <w14:textFill>
            <w14:solidFill>
              <w14:schemeClr w14:val="tx1"/>
            </w14:solidFill>
          </w14:textFill>
        </w:rPr>
        <w:t>▲</w:t>
      </w:r>
      <w:r>
        <w:rPr>
          <w:rFonts w:hint="eastAsia" w:ascii="宋体" w:hAnsi="宋体"/>
          <w:b/>
          <w:bCs/>
          <w:color w:val="000000" w:themeColor="text1"/>
          <w:sz w:val="22"/>
          <w:szCs w:val="22"/>
          <w:u w:val="single"/>
          <w14:textFill>
            <w14:solidFill>
              <w14:schemeClr w14:val="tx1"/>
            </w14:solidFill>
          </w14:textFill>
        </w:rPr>
        <w:t>经审查确认通过的“技术资信标”由评委进行综合评审，审查确认未通过的“技术资信标”不予评审。</w:t>
      </w:r>
    </w:p>
    <w:p>
      <w:pPr>
        <w:numPr>
          <w:ilvl w:val="1"/>
          <w:numId w:val="23"/>
        </w:numPr>
        <w:tabs>
          <w:tab w:val="left" w:pos="540"/>
          <w:tab w:val="clear" w:pos="992"/>
        </w:tabs>
        <w:spacing w:line="440" w:lineRule="exact"/>
        <w:ind w:left="540" w:hanging="540"/>
        <w:rPr>
          <w:rFonts w:ascii="宋体" w:hAnsi="宋体" w:cs="Arial"/>
          <w:b/>
          <w:bCs/>
          <w:color w:val="000000" w:themeColor="text1"/>
          <w:sz w:val="22"/>
          <w:szCs w:val="22"/>
          <w:u w:val="single"/>
          <w14:textFill>
            <w14:solidFill>
              <w14:schemeClr w14:val="tx1"/>
            </w14:solidFill>
          </w14:textFill>
        </w:rPr>
      </w:pPr>
      <w:r>
        <w:rPr>
          <w:rFonts w:hint="eastAsia" w:ascii="宋体" w:hAnsi="宋体" w:cs="Arial"/>
          <w:b/>
          <w:bCs/>
          <w:color w:val="000000" w:themeColor="text1"/>
          <w:sz w:val="22"/>
          <w:szCs w:val="22"/>
          <w14:textFill>
            <w14:solidFill>
              <w14:schemeClr w14:val="tx1"/>
            </w14:solidFill>
          </w14:textFill>
        </w:rPr>
        <w:t>▲</w:t>
      </w:r>
      <w:r>
        <w:rPr>
          <w:rFonts w:hint="eastAsia" w:ascii="宋体" w:hAnsi="宋体" w:cs="Arial"/>
          <w:b/>
          <w:bCs/>
          <w:color w:val="000000" w:themeColor="text1"/>
          <w:sz w:val="22"/>
          <w:szCs w:val="22"/>
          <w:u w:val="single"/>
          <w14:textFill>
            <w14:solidFill>
              <w14:schemeClr w14:val="tx1"/>
            </w14:solidFill>
          </w14:textFill>
        </w:rPr>
        <w:t>在对各投标人的投标文件进行综合评审时，投标文件有下列情况之一的，经评标委员会认定后按无效标处理：</w:t>
      </w:r>
    </w:p>
    <w:p>
      <w:pPr>
        <w:numPr>
          <w:ilvl w:val="0"/>
          <w:numId w:val="24"/>
        </w:numPr>
        <w:spacing w:line="440" w:lineRule="exact"/>
        <w:rPr>
          <w:rFonts w:ascii="宋体" w:hAnsi="宋体" w:cs="hakuyoxingshu7000"/>
          <w:color w:val="000000" w:themeColor="text1"/>
          <w:kern w:val="0"/>
          <w:sz w:val="22"/>
          <w:szCs w:val="22"/>
          <w14:textFill>
            <w14:solidFill>
              <w14:schemeClr w14:val="tx1"/>
            </w14:solidFill>
          </w14:textFill>
        </w:rPr>
      </w:pPr>
      <w:r>
        <w:rPr>
          <w:rFonts w:hint="eastAsia" w:ascii="宋体" w:hAnsi="宋体" w:cs="hakuyoxingshu7000"/>
          <w:color w:val="000000" w:themeColor="text1"/>
          <w:kern w:val="0"/>
          <w:sz w:val="22"/>
          <w:szCs w:val="22"/>
          <w14:textFill>
            <w14:solidFill>
              <w14:schemeClr w14:val="tx1"/>
            </w14:solidFill>
          </w14:textFill>
        </w:rPr>
        <w:t>明显不符合招标文件中主要技术规格、技术资信标准的；</w:t>
      </w:r>
    </w:p>
    <w:p>
      <w:pPr>
        <w:numPr>
          <w:ilvl w:val="0"/>
          <w:numId w:val="24"/>
        </w:numPr>
        <w:spacing w:line="440" w:lineRule="exact"/>
        <w:rPr>
          <w:rFonts w:ascii="宋体" w:hAnsi="宋体" w:cs="hakuyoxingshu7000"/>
          <w:color w:val="000000" w:themeColor="text1"/>
          <w:kern w:val="0"/>
          <w:sz w:val="22"/>
          <w:szCs w:val="22"/>
          <w14:textFill>
            <w14:solidFill>
              <w14:schemeClr w14:val="tx1"/>
            </w14:solidFill>
          </w14:textFill>
        </w:rPr>
      </w:pPr>
      <w:r>
        <w:rPr>
          <w:rFonts w:ascii="宋体" w:hAnsi="宋体" w:cs="hakuyoxingshu7000"/>
          <w:color w:val="000000" w:themeColor="text1"/>
          <w:kern w:val="0"/>
          <w:sz w:val="22"/>
          <w:szCs w:val="22"/>
          <w14:textFill>
            <w14:solidFill>
              <w14:schemeClr w14:val="tx1"/>
            </w14:solidFill>
          </w14:textFill>
        </w:rPr>
        <w:t>未按照招标文件的规定提交投标保证金的</w:t>
      </w:r>
      <w:r>
        <w:rPr>
          <w:rFonts w:hint="eastAsia" w:ascii="宋体" w:hAnsi="宋体" w:cs="hakuyoxingshu7000"/>
          <w:color w:val="000000" w:themeColor="text1"/>
          <w:kern w:val="0"/>
          <w:sz w:val="22"/>
          <w:szCs w:val="22"/>
          <w14:textFill>
            <w14:solidFill>
              <w14:schemeClr w14:val="tx1"/>
            </w14:solidFill>
          </w14:textFill>
        </w:rPr>
        <w:t>；</w:t>
      </w:r>
    </w:p>
    <w:p>
      <w:pPr>
        <w:numPr>
          <w:ilvl w:val="0"/>
          <w:numId w:val="24"/>
        </w:numPr>
        <w:spacing w:line="440" w:lineRule="exact"/>
        <w:rPr>
          <w:rFonts w:ascii="宋体" w:hAnsi="宋体" w:cs="hakuyoxingshu7000"/>
          <w:color w:val="000000" w:themeColor="text1"/>
          <w:kern w:val="0"/>
          <w:sz w:val="22"/>
          <w:szCs w:val="22"/>
          <w14:textFill>
            <w14:solidFill>
              <w14:schemeClr w14:val="tx1"/>
            </w14:solidFill>
          </w14:textFill>
        </w:rPr>
      </w:pPr>
      <w:r>
        <w:rPr>
          <w:rFonts w:ascii="宋体" w:hAnsi="宋体" w:cs="hakuyoxingshu7000"/>
          <w:color w:val="000000" w:themeColor="text1"/>
          <w:kern w:val="0"/>
          <w:sz w:val="22"/>
          <w:szCs w:val="22"/>
          <w14:textFill>
            <w14:solidFill>
              <w14:schemeClr w14:val="tx1"/>
            </w14:solidFill>
          </w14:textFill>
        </w:rPr>
        <w:t>投标文件未按招标文件要求签署、盖章的</w:t>
      </w:r>
      <w:r>
        <w:rPr>
          <w:rFonts w:hint="eastAsia" w:ascii="宋体" w:hAnsi="宋体" w:cs="hakuyoxingshu7000"/>
          <w:color w:val="000000" w:themeColor="text1"/>
          <w:kern w:val="0"/>
          <w:sz w:val="22"/>
          <w:szCs w:val="22"/>
          <w14:textFill>
            <w14:solidFill>
              <w14:schemeClr w14:val="tx1"/>
            </w14:solidFill>
          </w14:textFill>
        </w:rPr>
        <w:t>；</w:t>
      </w:r>
    </w:p>
    <w:p>
      <w:pPr>
        <w:numPr>
          <w:ilvl w:val="0"/>
          <w:numId w:val="24"/>
        </w:numPr>
        <w:spacing w:line="440" w:lineRule="exact"/>
        <w:rPr>
          <w:rFonts w:ascii="宋体" w:hAnsi="宋体" w:cs="hakuyoxingshu7000"/>
          <w:color w:val="000000" w:themeColor="text1"/>
          <w:kern w:val="0"/>
          <w:sz w:val="22"/>
          <w:szCs w:val="22"/>
          <w14:textFill>
            <w14:solidFill>
              <w14:schemeClr w14:val="tx1"/>
            </w14:solidFill>
          </w14:textFill>
        </w:rPr>
      </w:pPr>
      <w:r>
        <w:rPr>
          <w:rFonts w:ascii="宋体" w:hAnsi="宋体" w:cs="hakuyoxingshu7000"/>
          <w:color w:val="000000" w:themeColor="text1"/>
          <w:kern w:val="0"/>
          <w:sz w:val="22"/>
          <w:szCs w:val="22"/>
          <w14:textFill>
            <w14:solidFill>
              <w14:schemeClr w14:val="tx1"/>
            </w14:solidFill>
          </w14:textFill>
        </w:rPr>
        <w:t>不具备招标文件中规定的资格要求的；</w:t>
      </w:r>
    </w:p>
    <w:p>
      <w:pPr>
        <w:numPr>
          <w:ilvl w:val="0"/>
          <w:numId w:val="24"/>
        </w:numPr>
        <w:spacing w:line="440" w:lineRule="exact"/>
        <w:rPr>
          <w:rFonts w:ascii="宋体" w:hAnsi="宋体" w:cs="hakuyoxingshu7000"/>
          <w:color w:val="000000" w:themeColor="text1"/>
          <w:kern w:val="0"/>
          <w:sz w:val="22"/>
          <w:szCs w:val="22"/>
          <w14:textFill>
            <w14:solidFill>
              <w14:schemeClr w14:val="tx1"/>
            </w14:solidFill>
          </w14:textFill>
        </w:rPr>
      </w:pPr>
      <w:r>
        <w:rPr>
          <w:rFonts w:ascii="宋体" w:hAnsi="宋体" w:cs="hakuyoxingshu7000"/>
          <w:color w:val="000000" w:themeColor="text1"/>
          <w:kern w:val="0"/>
          <w:sz w:val="22"/>
          <w:szCs w:val="22"/>
          <w14:textFill>
            <w14:solidFill>
              <w14:schemeClr w14:val="tx1"/>
            </w14:solidFill>
          </w14:textFill>
        </w:rPr>
        <w:t>报价超过招标文件中规定的预算金额或者最高限价的</w:t>
      </w:r>
      <w:r>
        <w:rPr>
          <w:rFonts w:hint="eastAsia" w:ascii="宋体" w:hAnsi="宋体" w:cs="hakuyoxingshu7000"/>
          <w:color w:val="000000" w:themeColor="text1"/>
          <w:kern w:val="0"/>
          <w:sz w:val="22"/>
          <w:szCs w:val="22"/>
          <w14:textFill>
            <w14:solidFill>
              <w14:schemeClr w14:val="tx1"/>
            </w14:solidFill>
          </w14:textFill>
        </w:rPr>
        <w:t>；</w:t>
      </w:r>
    </w:p>
    <w:p>
      <w:pPr>
        <w:numPr>
          <w:ilvl w:val="0"/>
          <w:numId w:val="24"/>
        </w:numPr>
        <w:spacing w:line="440" w:lineRule="exact"/>
        <w:rPr>
          <w:rFonts w:ascii="宋体" w:hAnsi="宋体" w:cs="hakuyoxingshu7000"/>
          <w:color w:val="000000" w:themeColor="text1"/>
          <w:kern w:val="0"/>
          <w:sz w:val="22"/>
          <w:szCs w:val="22"/>
          <w14:textFill>
            <w14:solidFill>
              <w14:schemeClr w14:val="tx1"/>
            </w14:solidFill>
          </w14:textFill>
        </w:rPr>
      </w:pPr>
      <w:r>
        <w:rPr>
          <w:rFonts w:ascii="宋体" w:hAnsi="宋体" w:cs="hakuyoxingshu7000"/>
          <w:color w:val="000000" w:themeColor="text1"/>
          <w:kern w:val="0"/>
          <w:sz w:val="22"/>
          <w:szCs w:val="22"/>
          <w14:textFill>
            <w14:solidFill>
              <w14:schemeClr w14:val="tx1"/>
            </w14:solidFill>
          </w14:textFill>
        </w:rPr>
        <w:t>投标文件含有招标人不能接受的附加条件的</w:t>
      </w:r>
      <w:r>
        <w:rPr>
          <w:rFonts w:hint="eastAsia" w:ascii="宋体" w:hAnsi="宋体" w:cs="hakuyoxingshu7000"/>
          <w:color w:val="000000" w:themeColor="text1"/>
          <w:kern w:val="0"/>
          <w:sz w:val="22"/>
          <w:szCs w:val="22"/>
          <w14:textFill>
            <w14:solidFill>
              <w14:schemeClr w14:val="tx1"/>
            </w14:solidFill>
          </w14:textFill>
        </w:rPr>
        <w:t>；</w:t>
      </w:r>
    </w:p>
    <w:p>
      <w:pPr>
        <w:numPr>
          <w:ilvl w:val="0"/>
          <w:numId w:val="24"/>
        </w:numPr>
        <w:spacing w:line="440" w:lineRule="exact"/>
        <w:rPr>
          <w:rFonts w:ascii="宋体" w:hAnsi="宋体" w:cs="hakuyoxingshu7000"/>
          <w:color w:val="000000" w:themeColor="text1"/>
          <w:kern w:val="0"/>
          <w:sz w:val="22"/>
          <w:szCs w:val="22"/>
          <w14:textFill>
            <w14:solidFill>
              <w14:schemeClr w14:val="tx1"/>
            </w14:solidFill>
          </w14:textFill>
        </w:rPr>
      </w:pPr>
      <w:r>
        <w:rPr>
          <w:rFonts w:hint="eastAsia" w:ascii="宋体" w:hAnsi="宋体" w:cs="hakuyoxingshu7000"/>
          <w:color w:val="000000" w:themeColor="text1"/>
          <w:kern w:val="0"/>
          <w:sz w:val="22"/>
          <w:szCs w:val="22"/>
          <w14:textFill>
            <w14:solidFill>
              <w14:schemeClr w14:val="tx1"/>
            </w14:solidFill>
          </w14:textFill>
        </w:rPr>
        <w:t>经评标委员会认定</w:t>
      </w:r>
      <w:r>
        <w:rPr>
          <w:rFonts w:ascii="宋体" w:hAnsi="宋体" w:cs="hakuyoxingshu7000"/>
          <w:color w:val="000000" w:themeColor="text1"/>
          <w:kern w:val="0"/>
          <w:sz w:val="22"/>
          <w:szCs w:val="22"/>
          <w14:textFill>
            <w14:solidFill>
              <w14:schemeClr w14:val="tx1"/>
            </w14:solidFill>
          </w14:textFill>
        </w:rPr>
        <w:t>投标人串通投标</w:t>
      </w:r>
      <w:r>
        <w:rPr>
          <w:rFonts w:hint="eastAsia" w:ascii="宋体" w:hAnsi="宋体" w:cs="hakuyoxingshu7000"/>
          <w:color w:val="000000" w:themeColor="text1"/>
          <w:kern w:val="0"/>
          <w:sz w:val="22"/>
          <w:szCs w:val="22"/>
          <w14:textFill>
            <w14:solidFill>
              <w14:schemeClr w14:val="tx1"/>
            </w14:solidFill>
          </w14:textFill>
        </w:rPr>
        <w:t>的；</w:t>
      </w:r>
    </w:p>
    <w:p>
      <w:pPr>
        <w:numPr>
          <w:ilvl w:val="0"/>
          <w:numId w:val="24"/>
        </w:numPr>
        <w:spacing w:line="440" w:lineRule="exact"/>
        <w:rPr>
          <w:rFonts w:ascii="宋体" w:hAnsi="宋体" w:cs="hakuyoxingshu7000"/>
          <w:color w:val="000000" w:themeColor="text1"/>
          <w:kern w:val="0"/>
          <w:sz w:val="22"/>
          <w:szCs w:val="22"/>
          <w14:textFill>
            <w14:solidFill>
              <w14:schemeClr w14:val="tx1"/>
            </w14:solidFill>
          </w14:textFill>
        </w:rPr>
      </w:pPr>
      <w:r>
        <w:rPr>
          <w:rFonts w:ascii="宋体" w:hAnsi="宋体" w:cs="hakuyoxingshu7000"/>
          <w:color w:val="000000" w:themeColor="text1"/>
          <w:kern w:val="0"/>
          <w:sz w:val="22"/>
          <w:szCs w:val="22"/>
          <w14:textFill>
            <w14:solidFill>
              <w14:schemeClr w14:val="tx1"/>
            </w14:solidFill>
          </w14:textFill>
        </w:rPr>
        <w:t>同时出现两种</w:t>
      </w:r>
      <w:r>
        <w:rPr>
          <w:rFonts w:hint="eastAsia" w:ascii="宋体" w:hAnsi="宋体" w:cs="hakuyoxingshu7000"/>
          <w:color w:val="000000" w:themeColor="text1"/>
          <w:kern w:val="0"/>
          <w:sz w:val="22"/>
          <w:szCs w:val="22"/>
          <w14:textFill>
            <w14:solidFill>
              <w14:schemeClr w14:val="tx1"/>
            </w14:solidFill>
          </w14:textFill>
        </w:rPr>
        <w:t>及</w:t>
      </w:r>
      <w:r>
        <w:rPr>
          <w:rFonts w:ascii="宋体" w:hAnsi="宋体" w:cs="hakuyoxingshu7000"/>
          <w:color w:val="000000" w:themeColor="text1"/>
          <w:kern w:val="0"/>
          <w:sz w:val="22"/>
          <w:szCs w:val="22"/>
          <w14:textFill>
            <w14:solidFill>
              <w14:schemeClr w14:val="tx1"/>
            </w14:solidFill>
          </w14:textFill>
        </w:rPr>
        <w:t>以上不一致</w:t>
      </w:r>
      <w:r>
        <w:rPr>
          <w:rFonts w:hint="eastAsia" w:ascii="宋体" w:hAnsi="宋体" w:cs="hakuyoxingshu7000"/>
          <w:color w:val="000000" w:themeColor="text1"/>
          <w:kern w:val="0"/>
          <w:sz w:val="22"/>
          <w:szCs w:val="22"/>
          <w14:textFill>
            <w14:solidFill>
              <w14:schemeClr w14:val="tx1"/>
            </w14:solidFill>
          </w14:textFill>
        </w:rPr>
        <w:t>价格且</w:t>
      </w:r>
      <w:r>
        <w:rPr>
          <w:rFonts w:ascii="宋体" w:hAnsi="宋体" w:cs="hakuyoxingshu7000"/>
          <w:color w:val="000000" w:themeColor="text1"/>
          <w:kern w:val="0"/>
          <w:sz w:val="22"/>
          <w:szCs w:val="22"/>
          <w14:textFill>
            <w14:solidFill>
              <w14:schemeClr w14:val="tx1"/>
            </w14:solidFill>
          </w14:textFill>
        </w:rPr>
        <w:t>修正后投标人不确认</w:t>
      </w:r>
      <w:r>
        <w:rPr>
          <w:rFonts w:hint="eastAsia" w:ascii="宋体" w:hAnsi="宋体" w:cs="hakuyoxingshu7000"/>
          <w:color w:val="000000" w:themeColor="text1"/>
          <w:kern w:val="0"/>
          <w:sz w:val="22"/>
          <w:szCs w:val="22"/>
          <w14:textFill>
            <w14:solidFill>
              <w14:schemeClr w14:val="tx1"/>
            </w14:solidFill>
          </w14:textFill>
        </w:rPr>
        <w:t>报价的；</w:t>
      </w:r>
    </w:p>
    <w:p>
      <w:pPr>
        <w:numPr>
          <w:ilvl w:val="0"/>
          <w:numId w:val="24"/>
        </w:numPr>
        <w:spacing w:line="440" w:lineRule="exact"/>
        <w:rPr>
          <w:rFonts w:ascii="宋体" w:hAnsi="宋体" w:cs="hakuyoxingshu7000"/>
          <w:color w:val="000000" w:themeColor="text1"/>
          <w:kern w:val="0"/>
          <w:sz w:val="22"/>
          <w:szCs w:val="22"/>
          <w14:textFill>
            <w14:solidFill>
              <w14:schemeClr w14:val="tx1"/>
            </w14:solidFill>
          </w14:textFill>
        </w:rPr>
      </w:pPr>
      <w:r>
        <w:rPr>
          <w:rFonts w:hint="eastAsia" w:ascii="宋体" w:hAnsi="宋体" w:cs="hakuyoxingshu7000"/>
          <w:color w:val="000000" w:themeColor="text1"/>
          <w:kern w:val="0"/>
          <w:sz w:val="22"/>
          <w:szCs w:val="22"/>
          <w14:textFill>
            <w14:solidFill>
              <w14:schemeClr w14:val="tx1"/>
            </w14:solidFill>
          </w14:textFill>
        </w:rPr>
        <w:t>在“技术资信”标中出现投标报价的；</w:t>
      </w:r>
    </w:p>
    <w:p>
      <w:pPr>
        <w:numPr>
          <w:ilvl w:val="0"/>
          <w:numId w:val="24"/>
        </w:numPr>
        <w:spacing w:line="440" w:lineRule="exact"/>
        <w:rPr>
          <w:rFonts w:ascii="宋体" w:hAnsi="宋体" w:cs="hakuyoxingshu7000"/>
          <w:color w:val="000000" w:themeColor="text1"/>
          <w:kern w:val="0"/>
          <w:sz w:val="22"/>
          <w:szCs w:val="22"/>
          <w14:textFill>
            <w14:solidFill>
              <w14:schemeClr w14:val="tx1"/>
            </w14:solidFill>
          </w14:textFill>
        </w:rPr>
      </w:pPr>
      <w:r>
        <w:rPr>
          <w:rFonts w:ascii="宋体" w:hAnsi="宋体" w:cs="hakuyoxingshu7000"/>
          <w:color w:val="000000" w:themeColor="text1"/>
          <w:kern w:val="0"/>
          <w:sz w:val="22"/>
          <w:szCs w:val="22"/>
          <w14:textFill>
            <w14:solidFill>
              <w14:schemeClr w14:val="tx1"/>
            </w14:solidFill>
          </w14:textFill>
        </w:rPr>
        <w:t>报价明显低于其他通过符合性审查投标人的报价，</w:t>
      </w:r>
      <w:r>
        <w:rPr>
          <w:rFonts w:hint="eastAsia" w:ascii="宋体" w:hAnsi="宋体" w:cs="hakuyoxingshu7000"/>
          <w:color w:val="000000" w:themeColor="text1"/>
          <w:kern w:val="0"/>
          <w:sz w:val="22"/>
          <w:szCs w:val="22"/>
          <w14:textFill>
            <w14:solidFill>
              <w14:schemeClr w14:val="tx1"/>
            </w14:solidFill>
          </w14:textFill>
        </w:rPr>
        <w:t>且</w:t>
      </w:r>
      <w:r>
        <w:rPr>
          <w:rFonts w:ascii="宋体" w:hAnsi="宋体" w:cs="hakuyoxingshu7000"/>
          <w:color w:val="000000" w:themeColor="text1"/>
          <w:kern w:val="0"/>
          <w:sz w:val="22"/>
          <w:szCs w:val="22"/>
          <w14:textFill>
            <w14:solidFill>
              <w14:schemeClr w14:val="tx1"/>
            </w14:solidFill>
          </w14:textFill>
        </w:rPr>
        <w:t>在评标现场合理的时间内不能证明其报价合理性的；</w:t>
      </w:r>
    </w:p>
    <w:p>
      <w:pPr>
        <w:numPr>
          <w:ilvl w:val="0"/>
          <w:numId w:val="24"/>
        </w:numPr>
        <w:spacing w:line="440" w:lineRule="exact"/>
        <w:rPr>
          <w:rFonts w:ascii="宋体" w:hAnsi="宋体" w:cs="hakuyoxingshu7000"/>
          <w:color w:val="000000" w:themeColor="text1"/>
          <w:kern w:val="0"/>
          <w:sz w:val="22"/>
          <w:szCs w:val="22"/>
          <w14:textFill>
            <w14:solidFill>
              <w14:schemeClr w14:val="tx1"/>
            </w14:solidFill>
          </w14:textFill>
        </w:rPr>
      </w:pPr>
      <w:r>
        <w:rPr>
          <w:rFonts w:hint="eastAsia" w:ascii="宋体" w:hAnsi="宋体" w:cs="hakuyoxingshu7000"/>
          <w:color w:val="000000" w:themeColor="text1"/>
          <w:kern w:val="0"/>
          <w:sz w:val="22"/>
          <w:szCs w:val="22"/>
          <w14:textFill>
            <w14:solidFill>
              <w14:schemeClr w14:val="tx1"/>
            </w14:solidFill>
          </w14:textFill>
        </w:rPr>
        <w:t>无法定代表人合法、有效委托的；</w:t>
      </w:r>
    </w:p>
    <w:p>
      <w:pPr>
        <w:numPr>
          <w:ilvl w:val="0"/>
          <w:numId w:val="24"/>
        </w:numPr>
        <w:spacing w:line="440" w:lineRule="exact"/>
        <w:rPr>
          <w:rFonts w:ascii="宋体" w:hAnsi="宋体" w:cs="hakuyoxingshu7000"/>
          <w:color w:val="000000" w:themeColor="text1"/>
          <w:kern w:val="0"/>
          <w:sz w:val="22"/>
          <w:szCs w:val="22"/>
          <w14:textFill>
            <w14:solidFill>
              <w14:schemeClr w14:val="tx1"/>
            </w14:solidFill>
          </w14:textFill>
        </w:rPr>
      </w:pPr>
      <w:r>
        <w:rPr>
          <w:rFonts w:hint="eastAsia" w:ascii="宋体" w:hAnsi="宋体" w:cs="hakuyoxingshu7000"/>
          <w:color w:val="000000" w:themeColor="text1"/>
          <w:kern w:val="0"/>
          <w:sz w:val="22"/>
          <w:szCs w:val="22"/>
          <w14:textFill>
            <w14:solidFill>
              <w14:schemeClr w14:val="tx1"/>
            </w14:solidFill>
          </w14:textFill>
        </w:rPr>
        <w:t>评标委员会认定不符合法律、法规和招标文件中规定的其他实质性要求的。</w:t>
      </w:r>
    </w:p>
    <w:p>
      <w:pPr>
        <w:numPr>
          <w:ilvl w:val="1"/>
          <w:numId w:val="23"/>
        </w:numPr>
        <w:tabs>
          <w:tab w:val="left" w:pos="540"/>
          <w:tab w:val="clear" w:pos="992"/>
        </w:tabs>
        <w:spacing w:line="440" w:lineRule="exact"/>
        <w:ind w:left="540" w:hanging="540"/>
        <w:rPr>
          <w:rFonts w:ascii="宋体" w:hAnsi="宋体" w:cs="Arial"/>
          <w:b/>
          <w:bCs/>
          <w:color w:val="000000" w:themeColor="text1"/>
          <w:sz w:val="22"/>
          <w:szCs w:val="22"/>
          <w:u w:val="single"/>
          <w14:textFill>
            <w14:solidFill>
              <w14:schemeClr w14:val="tx1"/>
            </w14:solidFill>
          </w14:textFill>
        </w:rPr>
      </w:pPr>
      <w:r>
        <w:rPr>
          <w:rFonts w:hint="eastAsia" w:ascii="宋体" w:hAnsi="宋体" w:cs="Arial"/>
          <w:b/>
          <w:bCs/>
          <w:color w:val="000000" w:themeColor="text1"/>
          <w:sz w:val="22"/>
          <w:szCs w:val="22"/>
          <w:u w:val="single"/>
          <w14:textFill>
            <w14:solidFill>
              <w14:schemeClr w14:val="tx1"/>
            </w14:solidFill>
          </w14:textFill>
        </w:rPr>
        <w:t>▲有下列情形之一的，视为投标人串通投标，其投标无效：</w:t>
      </w:r>
    </w:p>
    <w:p>
      <w:pPr>
        <w:spacing w:line="440" w:lineRule="exact"/>
        <w:ind w:left="283" w:leftChars="135"/>
        <w:rPr>
          <w:rFonts w:ascii="宋体" w:hAnsi="宋体" w:cs="新宋体"/>
          <w:color w:val="000000" w:themeColor="text1"/>
          <w:kern w:val="0"/>
          <w:sz w:val="22"/>
          <w:szCs w:val="22"/>
          <w14:textFill>
            <w14:solidFill>
              <w14:schemeClr w14:val="tx1"/>
            </w14:solidFill>
          </w14:textFill>
        </w:rPr>
      </w:pPr>
      <w:r>
        <w:rPr>
          <w:rFonts w:hint="eastAsia" w:ascii="宋体" w:hAnsi="宋体" w:cs="新宋体"/>
          <w:color w:val="000000" w:themeColor="text1"/>
          <w:kern w:val="0"/>
          <w:sz w:val="22"/>
          <w:szCs w:val="22"/>
          <w14:textFill>
            <w14:solidFill>
              <w14:schemeClr w14:val="tx1"/>
            </w14:solidFill>
          </w14:textFill>
        </w:rPr>
        <w:t>1)不同投标人的投标文件由同一单位或者个人编制；</w:t>
      </w:r>
    </w:p>
    <w:p>
      <w:pPr>
        <w:spacing w:line="440" w:lineRule="exact"/>
        <w:ind w:left="283" w:leftChars="135"/>
        <w:rPr>
          <w:rFonts w:ascii="宋体" w:hAnsi="宋体" w:cs="新宋体"/>
          <w:color w:val="000000" w:themeColor="text1"/>
          <w:kern w:val="0"/>
          <w:sz w:val="22"/>
          <w:szCs w:val="22"/>
          <w14:textFill>
            <w14:solidFill>
              <w14:schemeClr w14:val="tx1"/>
            </w14:solidFill>
          </w14:textFill>
        </w:rPr>
      </w:pPr>
      <w:r>
        <w:rPr>
          <w:rFonts w:hint="eastAsia" w:ascii="宋体" w:hAnsi="宋体" w:cs="新宋体"/>
          <w:color w:val="000000" w:themeColor="text1"/>
          <w:kern w:val="0"/>
          <w:sz w:val="22"/>
          <w:szCs w:val="22"/>
          <w14:textFill>
            <w14:solidFill>
              <w14:schemeClr w14:val="tx1"/>
            </w14:solidFill>
          </w14:textFill>
        </w:rPr>
        <w:t>2)不同投标人委托同一单位或者个人办理投标事宜；</w:t>
      </w:r>
    </w:p>
    <w:p>
      <w:pPr>
        <w:spacing w:line="440" w:lineRule="exact"/>
        <w:ind w:left="283" w:leftChars="135"/>
        <w:rPr>
          <w:rFonts w:ascii="宋体" w:hAnsi="宋体" w:cs="新宋体"/>
          <w:color w:val="000000" w:themeColor="text1"/>
          <w:kern w:val="0"/>
          <w:sz w:val="22"/>
          <w:szCs w:val="22"/>
          <w14:textFill>
            <w14:solidFill>
              <w14:schemeClr w14:val="tx1"/>
            </w14:solidFill>
          </w14:textFill>
        </w:rPr>
      </w:pPr>
      <w:r>
        <w:rPr>
          <w:rFonts w:hint="eastAsia" w:ascii="宋体" w:hAnsi="宋体" w:cs="新宋体"/>
          <w:color w:val="000000" w:themeColor="text1"/>
          <w:kern w:val="0"/>
          <w:sz w:val="22"/>
          <w:szCs w:val="22"/>
          <w14:textFill>
            <w14:solidFill>
              <w14:schemeClr w14:val="tx1"/>
            </w14:solidFill>
          </w14:textFill>
        </w:rPr>
        <w:t>3)不同投标人的投标文件载明的项目管理成员或者联系人员为同一人；</w:t>
      </w:r>
    </w:p>
    <w:p>
      <w:pPr>
        <w:spacing w:line="440" w:lineRule="exact"/>
        <w:ind w:left="283" w:leftChars="135"/>
        <w:rPr>
          <w:rFonts w:ascii="宋体" w:hAnsi="宋体" w:cs="新宋体"/>
          <w:color w:val="000000" w:themeColor="text1"/>
          <w:kern w:val="0"/>
          <w:sz w:val="22"/>
          <w:szCs w:val="22"/>
          <w14:textFill>
            <w14:solidFill>
              <w14:schemeClr w14:val="tx1"/>
            </w14:solidFill>
          </w14:textFill>
        </w:rPr>
      </w:pPr>
      <w:r>
        <w:rPr>
          <w:rFonts w:hint="eastAsia" w:ascii="宋体" w:hAnsi="宋体" w:cs="新宋体"/>
          <w:color w:val="000000" w:themeColor="text1"/>
          <w:kern w:val="0"/>
          <w:sz w:val="22"/>
          <w:szCs w:val="22"/>
          <w14:textFill>
            <w14:solidFill>
              <w14:schemeClr w14:val="tx1"/>
            </w14:solidFill>
          </w14:textFill>
        </w:rPr>
        <w:t>4）不同投标人的投标文件异常一致或者投标报价呈规律性差异；</w:t>
      </w:r>
    </w:p>
    <w:p>
      <w:pPr>
        <w:spacing w:line="440" w:lineRule="exact"/>
        <w:ind w:left="283" w:leftChars="135"/>
        <w:rPr>
          <w:rFonts w:ascii="宋体" w:hAnsi="宋体" w:cs="新宋体"/>
          <w:color w:val="000000" w:themeColor="text1"/>
          <w:kern w:val="0"/>
          <w:sz w:val="22"/>
          <w:szCs w:val="22"/>
          <w14:textFill>
            <w14:solidFill>
              <w14:schemeClr w14:val="tx1"/>
            </w14:solidFill>
          </w14:textFill>
        </w:rPr>
      </w:pPr>
      <w:r>
        <w:rPr>
          <w:rFonts w:hint="eastAsia" w:ascii="宋体" w:hAnsi="宋体" w:cs="新宋体"/>
          <w:color w:val="000000" w:themeColor="text1"/>
          <w:kern w:val="0"/>
          <w:sz w:val="22"/>
          <w:szCs w:val="22"/>
          <w14:textFill>
            <w14:solidFill>
              <w14:schemeClr w14:val="tx1"/>
            </w14:solidFill>
          </w14:textFill>
        </w:rPr>
        <w:t>5）不同投标人的投标文件相互混装；</w:t>
      </w:r>
    </w:p>
    <w:p>
      <w:pPr>
        <w:spacing w:line="440" w:lineRule="exact"/>
        <w:ind w:left="283" w:leftChars="135"/>
        <w:rPr>
          <w:rFonts w:ascii="宋体" w:hAnsi="宋体" w:cs="hakuyoxingshu7000"/>
          <w:color w:val="000000" w:themeColor="text1"/>
          <w:kern w:val="0"/>
          <w:sz w:val="22"/>
          <w:szCs w:val="22"/>
          <w14:textFill>
            <w14:solidFill>
              <w14:schemeClr w14:val="tx1"/>
            </w14:solidFill>
          </w14:textFill>
        </w:rPr>
      </w:pPr>
      <w:r>
        <w:rPr>
          <w:rFonts w:hint="eastAsia" w:ascii="宋体" w:hAnsi="宋体" w:cs="新宋体"/>
          <w:color w:val="000000" w:themeColor="text1"/>
          <w:kern w:val="0"/>
          <w:sz w:val="22"/>
          <w:szCs w:val="22"/>
          <w14:textFill>
            <w14:solidFill>
              <w14:schemeClr w14:val="tx1"/>
            </w14:solidFill>
          </w14:textFill>
        </w:rPr>
        <w:t>6）不同投标人的投标保证金从同一单位或者个人的账户转出。</w:t>
      </w:r>
    </w:p>
    <w:p>
      <w:pPr>
        <w:numPr>
          <w:ilvl w:val="1"/>
          <w:numId w:val="23"/>
        </w:numPr>
        <w:tabs>
          <w:tab w:val="left" w:pos="540"/>
          <w:tab w:val="clear" w:pos="992"/>
        </w:tabs>
        <w:spacing w:line="440" w:lineRule="exact"/>
        <w:ind w:left="540" w:hanging="540"/>
        <w:rPr>
          <w:rFonts w:ascii="宋体" w:hAnsi="宋体" w:cs="Arial"/>
          <w:b/>
          <w:bCs/>
          <w:color w:val="000000" w:themeColor="text1"/>
          <w:sz w:val="22"/>
          <w:szCs w:val="22"/>
          <w14:textFill>
            <w14:solidFill>
              <w14:schemeClr w14:val="tx1"/>
            </w14:solidFill>
          </w14:textFill>
        </w:rPr>
      </w:pPr>
      <w:r>
        <w:rPr>
          <w:rFonts w:hint="eastAsia" w:ascii="宋体" w:hAnsi="宋体" w:cs="Arial"/>
          <w:b/>
          <w:bCs/>
          <w:color w:val="000000" w:themeColor="text1"/>
          <w:sz w:val="22"/>
          <w:szCs w:val="22"/>
          <w14:textFill>
            <w14:solidFill>
              <w14:schemeClr w14:val="tx1"/>
            </w14:solidFill>
          </w14:textFill>
        </w:rPr>
        <w:t>开启商务标</w:t>
      </w:r>
    </w:p>
    <w:p>
      <w:pPr>
        <w:numPr>
          <w:ilvl w:val="0"/>
          <w:numId w:val="25"/>
        </w:numPr>
        <w:tabs>
          <w:tab w:val="left" w:pos="720"/>
          <w:tab w:val="clear" w:pos="420"/>
        </w:tabs>
        <w:spacing w:line="440" w:lineRule="exact"/>
        <w:ind w:left="720" w:hanging="720"/>
        <w:rPr>
          <w:rFonts w:ascii="宋体" w:hAnsi="宋体" w:cs="Arial"/>
          <w:color w:val="000000" w:themeColor="text1"/>
          <w:sz w:val="22"/>
          <w:szCs w:val="22"/>
          <w14:textFill>
            <w14:solidFill>
              <w14:schemeClr w14:val="tx1"/>
            </w14:solidFill>
          </w14:textFill>
        </w:rPr>
      </w:pPr>
      <w:r>
        <w:rPr>
          <w:rFonts w:hint="eastAsia" w:ascii="宋体" w:hAnsi="宋体" w:cs="Arial"/>
          <w:color w:val="000000" w:themeColor="text1"/>
          <w:sz w:val="22"/>
          <w:szCs w:val="22"/>
          <w14:textFill>
            <w14:solidFill>
              <w14:schemeClr w14:val="tx1"/>
            </w14:solidFill>
          </w14:textFill>
        </w:rPr>
        <w:t>开商务标时邀请所有投标人代表参加，参加开标的代表应准时出席并签名报到以证明其出席。投标人代表未参加开标会的，事后不得对开标过程和开标结果提出异议。</w:t>
      </w:r>
    </w:p>
    <w:p>
      <w:pPr>
        <w:numPr>
          <w:ilvl w:val="0"/>
          <w:numId w:val="25"/>
        </w:numPr>
        <w:tabs>
          <w:tab w:val="left" w:pos="720"/>
          <w:tab w:val="clear" w:pos="420"/>
        </w:tabs>
        <w:spacing w:line="440" w:lineRule="exact"/>
        <w:ind w:left="720" w:hanging="720"/>
        <w:rPr>
          <w:rFonts w:ascii="宋体" w:hAnsi="宋体" w:cs="Arial"/>
          <w:color w:val="000000" w:themeColor="text1"/>
          <w:sz w:val="22"/>
          <w:szCs w:val="22"/>
          <w14:textFill>
            <w14:solidFill>
              <w14:schemeClr w14:val="tx1"/>
            </w14:solidFill>
          </w14:textFill>
        </w:rPr>
      </w:pPr>
      <w:r>
        <w:rPr>
          <w:rFonts w:hint="eastAsia" w:ascii="宋体" w:hAnsi="宋体" w:cs="Arial"/>
          <w:color w:val="000000" w:themeColor="text1"/>
          <w:sz w:val="22"/>
          <w:szCs w:val="22"/>
          <w14:textFill>
            <w14:solidFill>
              <w14:schemeClr w14:val="tx1"/>
            </w14:solidFill>
          </w14:textFill>
        </w:rPr>
        <w:t>宣布对各投标人有效身份证件、投标保证金等审查结果和技术资信标得分情况。</w:t>
      </w:r>
    </w:p>
    <w:p>
      <w:pPr>
        <w:numPr>
          <w:ilvl w:val="0"/>
          <w:numId w:val="25"/>
        </w:numPr>
        <w:tabs>
          <w:tab w:val="left" w:pos="720"/>
          <w:tab w:val="clear" w:pos="420"/>
        </w:tabs>
        <w:spacing w:line="440" w:lineRule="exact"/>
        <w:ind w:left="720" w:hanging="720"/>
        <w:rPr>
          <w:rFonts w:ascii="宋体" w:hAnsi="宋体" w:cs="Arial"/>
          <w:color w:val="000000" w:themeColor="text1"/>
          <w:sz w:val="22"/>
          <w:szCs w:val="22"/>
          <w14:textFill>
            <w14:solidFill>
              <w14:schemeClr w14:val="tx1"/>
            </w14:solidFill>
          </w14:textFill>
        </w:rPr>
      </w:pPr>
      <w:r>
        <w:rPr>
          <w:rFonts w:hint="eastAsia" w:ascii="宋体" w:hAnsi="宋体" w:cs="Arial"/>
          <w:color w:val="000000" w:themeColor="text1"/>
          <w:sz w:val="22"/>
          <w:szCs w:val="22"/>
          <w14:textFill>
            <w14:solidFill>
              <w14:schemeClr w14:val="tx1"/>
            </w14:solidFill>
          </w14:textFill>
        </w:rPr>
        <w:t>检查有效投标人“商务标”的密封情况，确认无误后开启“商务标”，唱读“</w:t>
      </w:r>
      <w:r>
        <w:rPr>
          <w:rFonts w:hint="eastAsia" w:ascii="宋体" w:hAnsi="宋体"/>
          <w:color w:val="000000" w:themeColor="text1"/>
          <w:sz w:val="22"/>
          <w:szCs w:val="22"/>
          <w14:textFill>
            <w14:solidFill>
              <w14:schemeClr w14:val="tx1"/>
            </w14:solidFill>
          </w14:textFill>
        </w:rPr>
        <w:t>开标一览表</w:t>
      </w:r>
      <w:r>
        <w:rPr>
          <w:rFonts w:hint="eastAsia" w:ascii="宋体" w:hAnsi="宋体" w:cs="Arial"/>
          <w:color w:val="000000" w:themeColor="text1"/>
          <w:sz w:val="22"/>
          <w:szCs w:val="22"/>
          <w14:textFill>
            <w14:solidFill>
              <w14:schemeClr w14:val="tx1"/>
            </w14:solidFill>
          </w14:textFill>
        </w:rPr>
        <w:t>”全部内容。</w:t>
      </w:r>
      <w:r>
        <w:rPr>
          <w:rFonts w:hint="eastAsia" w:ascii="宋体" w:hAnsi="宋体" w:cs="Arial"/>
          <w:b/>
          <w:color w:val="000000" w:themeColor="text1"/>
          <w:sz w:val="22"/>
          <w:szCs w:val="22"/>
          <w14:textFill>
            <w14:solidFill>
              <w14:schemeClr w14:val="tx1"/>
            </w14:solidFill>
          </w14:textFill>
        </w:rPr>
        <w:t>唱读结束后，投标人代表应对唱读内容及记录结果当场进行校核和签字确认，如有异议应当场提出，否则视为默许同意。</w:t>
      </w:r>
    </w:p>
    <w:p>
      <w:pPr>
        <w:numPr>
          <w:ilvl w:val="0"/>
          <w:numId w:val="25"/>
        </w:numPr>
        <w:tabs>
          <w:tab w:val="left" w:pos="720"/>
          <w:tab w:val="clear" w:pos="420"/>
        </w:tabs>
        <w:spacing w:line="440" w:lineRule="exact"/>
        <w:ind w:left="720" w:hanging="720"/>
        <w:rPr>
          <w:rFonts w:ascii="宋体" w:hAnsi="宋体" w:cs="Arial"/>
          <w:color w:val="000000" w:themeColor="text1"/>
          <w:sz w:val="22"/>
          <w:szCs w:val="22"/>
          <w14:textFill>
            <w14:solidFill>
              <w14:schemeClr w14:val="tx1"/>
            </w14:solidFill>
          </w14:textFill>
        </w:rPr>
      </w:pPr>
      <w:r>
        <w:rPr>
          <w:rFonts w:hint="eastAsia" w:ascii="宋体" w:hAnsi="宋体" w:cs="Arial"/>
          <w:color w:val="000000" w:themeColor="text1"/>
          <w:sz w:val="22"/>
          <w:szCs w:val="22"/>
          <w14:textFill>
            <w14:solidFill>
              <w14:schemeClr w14:val="tx1"/>
            </w14:solidFill>
          </w14:textFill>
        </w:rPr>
        <w:t>开标时没有启封和宣读的投标文件，原封退回给投标人。</w:t>
      </w:r>
    </w:p>
    <w:p>
      <w:pPr>
        <w:numPr>
          <w:ilvl w:val="0"/>
          <w:numId w:val="25"/>
        </w:numPr>
        <w:tabs>
          <w:tab w:val="left" w:pos="720"/>
          <w:tab w:val="clear" w:pos="420"/>
        </w:tabs>
        <w:spacing w:line="440" w:lineRule="exact"/>
        <w:ind w:left="720" w:hanging="720"/>
        <w:rPr>
          <w:rFonts w:ascii="宋体" w:hAnsi="宋体" w:cs="Arial"/>
          <w:color w:val="000000" w:themeColor="text1"/>
          <w:sz w:val="22"/>
          <w:szCs w:val="22"/>
          <w14:textFill>
            <w14:solidFill>
              <w14:schemeClr w14:val="tx1"/>
            </w14:solidFill>
          </w14:textFill>
        </w:rPr>
      </w:pPr>
      <w:r>
        <w:rPr>
          <w:rFonts w:hint="eastAsia" w:ascii="宋体" w:hAnsi="宋体" w:cs="Arial"/>
          <w:color w:val="000000" w:themeColor="text1"/>
          <w:sz w:val="22"/>
          <w:szCs w:val="22"/>
          <w14:textFill>
            <w14:solidFill>
              <w14:schemeClr w14:val="tx1"/>
            </w14:solidFill>
          </w14:textFill>
        </w:rPr>
        <w:t>开商务标时，招标人指定专人作好记录，存档备查。</w:t>
      </w:r>
    </w:p>
    <w:p>
      <w:pPr>
        <w:numPr>
          <w:ilvl w:val="1"/>
          <w:numId w:val="23"/>
        </w:numPr>
        <w:tabs>
          <w:tab w:val="left" w:pos="540"/>
          <w:tab w:val="clear" w:pos="992"/>
        </w:tabs>
        <w:spacing w:line="440" w:lineRule="exact"/>
        <w:ind w:left="540" w:hanging="540"/>
        <w:rPr>
          <w:rFonts w:ascii="宋体" w:hAnsi="宋体" w:cs="Arial"/>
          <w:bCs/>
          <w:color w:val="000000" w:themeColor="text1"/>
          <w:sz w:val="22"/>
          <w:szCs w:val="22"/>
          <w14:textFill>
            <w14:solidFill>
              <w14:schemeClr w14:val="tx1"/>
            </w14:solidFill>
          </w14:textFill>
        </w:rPr>
      </w:pPr>
      <w:r>
        <w:rPr>
          <w:rFonts w:hint="eastAsia" w:ascii="宋体" w:hAnsi="宋体" w:cs="Arial"/>
          <w:bCs/>
          <w:color w:val="000000" w:themeColor="text1"/>
          <w:sz w:val="22"/>
          <w:szCs w:val="22"/>
          <w14:textFill>
            <w14:solidFill>
              <w14:schemeClr w14:val="tx1"/>
            </w14:solidFill>
          </w14:textFill>
        </w:rPr>
        <w:t>“商务标”开启后，由评标委员会对各投标人的商务报价进行核查，核查时发现投标报价内容不清楚可要求投标人书面澄清，计算上的错误，可按下面方法修正：</w:t>
      </w:r>
    </w:p>
    <w:p>
      <w:pPr>
        <w:numPr>
          <w:ilvl w:val="0"/>
          <w:numId w:val="26"/>
        </w:numPr>
        <w:tabs>
          <w:tab w:val="left" w:pos="720"/>
          <w:tab w:val="clear" w:pos="420"/>
        </w:tabs>
        <w:spacing w:line="440" w:lineRule="exact"/>
        <w:ind w:left="720" w:hanging="720"/>
        <w:rPr>
          <w:rFonts w:ascii="宋体" w:hAnsi="宋体" w:cs="Arial"/>
          <w:color w:val="000000" w:themeColor="text1"/>
          <w:spacing w:val="-4"/>
          <w:sz w:val="22"/>
          <w:szCs w:val="22"/>
          <w14:textFill>
            <w14:solidFill>
              <w14:schemeClr w14:val="tx1"/>
            </w14:solidFill>
          </w14:textFill>
        </w:rPr>
      </w:pPr>
      <w:r>
        <w:rPr>
          <w:rFonts w:hint="eastAsia" w:ascii="宋体" w:hAnsi="宋体" w:cs="Arial"/>
          <w:color w:val="000000" w:themeColor="text1"/>
          <w:spacing w:val="-4"/>
          <w:sz w:val="22"/>
          <w:szCs w:val="22"/>
          <w14:textFill>
            <w14:solidFill>
              <w14:schemeClr w14:val="tx1"/>
            </w14:solidFill>
          </w14:textFill>
        </w:rPr>
        <w:t>投标文件的大写金额与小写金额不一致时以大写金额为准。总价金额与按单价汇总金额不一致的，以单价金额计算结果为准，单价金额小数点有明显错位的，应以总价为准，并修正单价。</w:t>
      </w:r>
    </w:p>
    <w:p>
      <w:pPr>
        <w:numPr>
          <w:ilvl w:val="0"/>
          <w:numId w:val="26"/>
        </w:numPr>
        <w:tabs>
          <w:tab w:val="left" w:pos="720"/>
          <w:tab w:val="clear" w:pos="420"/>
        </w:tabs>
        <w:spacing w:line="440" w:lineRule="exact"/>
        <w:rPr>
          <w:rFonts w:ascii="宋体" w:hAnsi="宋体" w:cs="Arial"/>
          <w:b/>
          <w:color w:val="000000" w:themeColor="text1"/>
          <w:sz w:val="22"/>
          <w:szCs w:val="22"/>
          <w14:textFill>
            <w14:solidFill>
              <w14:schemeClr w14:val="tx1"/>
            </w14:solidFill>
          </w14:textFill>
        </w:rPr>
      </w:pPr>
      <w:r>
        <w:rPr>
          <w:rFonts w:hint="eastAsia" w:ascii="宋体" w:hAnsi="宋体" w:cs="Arial"/>
          <w:b/>
          <w:color w:val="000000" w:themeColor="text1"/>
          <w:sz w:val="22"/>
          <w:szCs w:val="22"/>
          <w14:textFill>
            <w14:solidFill>
              <w14:schemeClr w14:val="tx1"/>
            </w14:solidFill>
          </w14:textFill>
        </w:rPr>
        <w:t>如果投标人不接受对其价格错误进行修正，其投标将被拒绝。</w:t>
      </w:r>
    </w:p>
    <w:p>
      <w:pPr>
        <w:numPr>
          <w:ilvl w:val="1"/>
          <w:numId w:val="23"/>
        </w:numPr>
        <w:tabs>
          <w:tab w:val="left" w:pos="540"/>
          <w:tab w:val="clear" w:pos="992"/>
        </w:tabs>
        <w:spacing w:line="440" w:lineRule="exact"/>
        <w:ind w:left="540" w:hanging="540"/>
        <w:rPr>
          <w:rFonts w:ascii="宋体" w:hAnsi="宋体" w:cs="Arial"/>
          <w:bCs/>
          <w:color w:val="000000" w:themeColor="text1"/>
          <w:sz w:val="22"/>
          <w:szCs w:val="22"/>
          <w14:textFill>
            <w14:solidFill>
              <w14:schemeClr w14:val="tx1"/>
            </w14:solidFill>
          </w14:textFill>
        </w:rPr>
      </w:pPr>
      <w:r>
        <w:rPr>
          <w:rFonts w:hint="eastAsia" w:ascii="宋体" w:hAnsi="宋体" w:cs="Arial"/>
          <w:bCs/>
          <w:color w:val="000000" w:themeColor="text1"/>
          <w:sz w:val="22"/>
          <w:szCs w:val="22"/>
          <w14:textFill>
            <w14:solidFill>
              <w14:schemeClr w14:val="tx1"/>
            </w14:solidFill>
          </w14:textFill>
        </w:rPr>
        <w:t>在详细评标之前，评标委员会要审查每份投标文件是否实质上响应了招标文件的要求。实质上响应的投标应该是与招标文件要求的全部条款、条件和规格基本相符。没有重大偏离。</w:t>
      </w:r>
      <w:r>
        <w:rPr>
          <w:rFonts w:hint="eastAsia" w:ascii="宋体" w:hAnsi="宋体" w:cs="Arial"/>
          <w:b/>
          <w:bCs/>
          <w:color w:val="000000" w:themeColor="text1"/>
          <w:sz w:val="22"/>
          <w:szCs w:val="22"/>
          <w14:textFill>
            <w14:solidFill>
              <w14:schemeClr w14:val="tx1"/>
            </w14:solidFill>
          </w14:textFill>
        </w:rPr>
        <w:t>评标委员会决定投标的响应性只根据投标文件本身的内容，而不寻求外部的证据。</w:t>
      </w:r>
    </w:p>
    <w:p>
      <w:pPr>
        <w:numPr>
          <w:ilvl w:val="1"/>
          <w:numId w:val="23"/>
        </w:numPr>
        <w:tabs>
          <w:tab w:val="left" w:pos="540"/>
          <w:tab w:val="clear" w:pos="992"/>
        </w:tabs>
        <w:spacing w:line="440" w:lineRule="exact"/>
        <w:ind w:left="540" w:hanging="540"/>
        <w:rPr>
          <w:rFonts w:ascii="宋体" w:hAnsi="宋体" w:cs="Arial"/>
          <w:bCs/>
          <w:color w:val="000000" w:themeColor="text1"/>
          <w:sz w:val="22"/>
          <w:szCs w:val="22"/>
          <w14:textFill>
            <w14:solidFill>
              <w14:schemeClr w14:val="tx1"/>
            </w14:solidFill>
          </w14:textFill>
        </w:rPr>
      </w:pPr>
      <w:r>
        <w:rPr>
          <w:rFonts w:hint="eastAsia" w:ascii="宋体" w:hAnsi="宋体" w:cs="Arial"/>
          <w:b/>
          <w:bCs/>
          <w:color w:val="000000" w:themeColor="text1"/>
          <w:sz w:val="22"/>
          <w:szCs w:val="22"/>
          <w14:textFill>
            <w14:solidFill>
              <w14:schemeClr w14:val="tx1"/>
            </w14:solidFill>
          </w14:textFill>
        </w:rPr>
        <w:t>实质上没有响应招标文件要求的投标将被拒绝，</w:t>
      </w:r>
      <w:r>
        <w:rPr>
          <w:rFonts w:hint="eastAsia" w:ascii="宋体" w:hAnsi="宋体" w:cs="Arial"/>
          <w:bCs/>
          <w:color w:val="000000" w:themeColor="text1"/>
          <w:sz w:val="22"/>
          <w:szCs w:val="22"/>
          <w14:textFill>
            <w14:solidFill>
              <w14:schemeClr w14:val="tx1"/>
            </w14:solidFill>
          </w14:textFill>
        </w:rPr>
        <w:t>投标人不得通过修正或撤消不合要求的偏离或保留从而使其投标成为实质上响应的投标。</w:t>
      </w:r>
    </w:p>
    <w:p>
      <w:pPr>
        <w:numPr>
          <w:ilvl w:val="1"/>
          <w:numId w:val="23"/>
        </w:numPr>
        <w:tabs>
          <w:tab w:val="left" w:pos="540"/>
          <w:tab w:val="clear" w:pos="992"/>
        </w:tabs>
        <w:spacing w:line="440" w:lineRule="exact"/>
        <w:ind w:left="540" w:hanging="540"/>
        <w:rPr>
          <w:rFonts w:ascii="宋体" w:hAnsi="宋体" w:cs="Arial"/>
          <w:bCs/>
          <w:color w:val="000000" w:themeColor="text1"/>
          <w:sz w:val="22"/>
          <w:szCs w:val="22"/>
          <w14:textFill>
            <w14:solidFill>
              <w14:schemeClr w14:val="tx1"/>
            </w14:solidFill>
          </w14:textFill>
        </w:rPr>
      </w:pPr>
      <w:r>
        <w:rPr>
          <w:rFonts w:hint="eastAsia" w:ascii="宋体" w:hAnsi="宋体" w:cs="Arial"/>
          <w:bCs/>
          <w:color w:val="000000" w:themeColor="text1"/>
          <w:sz w:val="22"/>
          <w:szCs w:val="22"/>
          <w14:textFill>
            <w14:solidFill>
              <w14:schemeClr w14:val="tx1"/>
            </w14:solidFill>
          </w14:textFill>
        </w:rPr>
        <w:t>评标委员会对审查合格的投标文件按照招标文件中制订的评标方法进行综合评定打分。</w:t>
      </w:r>
    </w:p>
    <w:p>
      <w:pPr>
        <w:numPr>
          <w:ilvl w:val="1"/>
          <w:numId w:val="23"/>
        </w:numPr>
        <w:tabs>
          <w:tab w:val="left" w:pos="540"/>
          <w:tab w:val="clear" w:pos="992"/>
        </w:tabs>
        <w:spacing w:line="440" w:lineRule="exact"/>
        <w:ind w:left="540" w:hanging="540"/>
        <w:rPr>
          <w:rFonts w:ascii="宋体" w:hAnsi="宋体" w:cs="Arial"/>
          <w:bCs/>
          <w:color w:val="000000" w:themeColor="text1"/>
          <w:sz w:val="22"/>
          <w:szCs w:val="22"/>
          <w14:textFill>
            <w14:solidFill>
              <w14:schemeClr w14:val="tx1"/>
            </w14:solidFill>
          </w14:textFill>
        </w:rPr>
      </w:pPr>
      <w:r>
        <w:rPr>
          <w:rFonts w:hint="eastAsia" w:ascii="宋体" w:hAnsi="宋体" w:cs="Arial"/>
          <w:bCs/>
          <w:color w:val="000000" w:themeColor="text1"/>
          <w:sz w:val="22"/>
          <w:szCs w:val="22"/>
          <w14:textFill>
            <w14:solidFill>
              <w14:schemeClr w14:val="tx1"/>
            </w14:solidFill>
          </w14:textFill>
        </w:rPr>
        <w:t>投标的评定</w:t>
      </w:r>
    </w:p>
    <w:p>
      <w:pPr>
        <w:tabs>
          <w:tab w:val="left" w:pos="1365"/>
        </w:tabs>
        <w:spacing w:line="440" w:lineRule="exact"/>
        <w:ind w:left="656" w:leftChars="257" w:hanging="116" w:hangingChars="53"/>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评标委员会除考虑投标人的投标报价的竞争有利性外，同时还应考虑以下几方面：</w:t>
      </w:r>
    </w:p>
    <w:p>
      <w:pPr>
        <w:numPr>
          <w:ilvl w:val="0"/>
          <w:numId w:val="27"/>
        </w:numPr>
        <w:tabs>
          <w:tab w:val="left" w:pos="1365"/>
        </w:tabs>
        <w:spacing w:line="440" w:lineRule="exact"/>
        <w:ind w:left="1079" w:leftChars="257" w:hanging="539" w:hangingChars="245"/>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 xml:space="preserve"> 投标人资质。</w:t>
      </w:r>
    </w:p>
    <w:p>
      <w:pPr>
        <w:numPr>
          <w:ilvl w:val="0"/>
          <w:numId w:val="27"/>
        </w:numPr>
        <w:tabs>
          <w:tab w:val="left" w:pos="1365"/>
        </w:tabs>
        <w:spacing w:line="440" w:lineRule="exact"/>
        <w:ind w:left="1079" w:leftChars="257" w:hanging="539" w:hangingChars="245"/>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 xml:space="preserve"> 应标方案与需求的吻合程度，包括方案的先进性、合理性等。</w:t>
      </w:r>
    </w:p>
    <w:p>
      <w:pPr>
        <w:numPr>
          <w:ilvl w:val="0"/>
          <w:numId w:val="27"/>
        </w:numPr>
        <w:tabs>
          <w:tab w:val="left" w:pos="1365"/>
        </w:tabs>
        <w:spacing w:line="440" w:lineRule="exact"/>
        <w:ind w:left="1079" w:leftChars="257" w:hanging="539" w:hangingChars="245"/>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 xml:space="preserve"> 投标人在从事同类项目的有关业绩。</w:t>
      </w:r>
    </w:p>
    <w:p>
      <w:pPr>
        <w:numPr>
          <w:ilvl w:val="0"/>
          <w:numId w:val="27"/>
        </w:numPr>
        <w:tabs>
          <w:tab w:val="left" w:pos="1365"/>
        </w:tabs>
        <w:spacing w:line="440" w:lineRule="exact"/>
        <w:ind w:left="1079" w:leftChars="257" w:hanging="539" w:hangingChars="245"/>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 xml:space="preserve"> 投标人提交的技术偏离情况。</w:t>
      </w:r>
    </w:p>
    <w:p>
      <w:pPr>
        <w:numPr>
          <w:ilvl w:val="0"/>
          <w:numId w:val="27"/>
        </w:numPr>
        <w:tabs>
          <w:tab w:val="left" w:pos="900"/>
        </w:tabs>
        <w:spacing w:line="440" w:lineRule="exact"/>
        <w:ind w:left="896" w:leftChars="256" w:hanging="358" w:hangingChars="163"/>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 xml:space="preserve"> 投标人实施方案的科学性、可行性和可靠性，包括安排参与项目的人员的素质、技术能力、经验及人数是否符合标书要求。</w:t>
      </w:r>
    </w:p>
    <w:p>
      <w:pPr>
        <w:numPr>
          <w:ilvl w:val="0"/>
          <w:numId w:val="27"/>
        </w:numPr>
        <w:tabs>
          <w:tab w:val="left" w:pos="1365"/>
        </w:tabs>
        <w:spacing w:line="440" w:lineRule="exact"/>
        <w:ind w:left="1079" w:leftChars="257" w:hanging="539" w:hangingChars="245"/>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 xml:space="preserve"> 投标人提出的优惠条件和承诺。</w:t>
      </w:r>
    </w:p>
    <w:p>
      <w:pPr>
        <w:numPr>
          <w:ilvl w:val="0"/>
          <w:numId w:val="27"/>
        </w:numPr>
        <w:tabs>
          <w:tab w:val="left" w:pos="1365"/>
        </w:tabs>
        <w:spacing w:line="440" w:lineRule="exact"/>
        <w:ind w:left="1079" w:leftChars="257" w:hanging="539" w:hangingChars="245"/>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 xml:space="preserve"> 投标人商务报价的合理性。</w:t>
      </w:r>
    </w:p>
    <w:p>
      <w:pPr>
        <w:numPr>
          <w:ilvl w:val="1"/>
          <w:numId w:val="23"/>
        </w:numPr>
        <w:tabs>
          <w:tab w:val="left" w:pos="540"/>
          <w:tab w:val="clear" w:pos="992"/>
        </w:tabs>
        <w:spacing w:line="440" w:lineRule="exact"/>
        <w:ind w:left="540" w:hanging="540"/>
        <w:rPr>
          <w:rFonts w:ascii="宋体" w:hAnsi="宋体" w:cs="Arial"/>
          <w:b/>
          <w:bCs/>
          <w:color w:val="000000" w:themeColor="text1"/>
          <w:sz w:val="22"/>
          <w:szCs w:val="22"/>
          <w:u w:val="single"/>
          <w14:textFill>
            <w14:solidFill>
              <w14:schemeClr w14:val="tx1"/>
            </w14:solidFill>
          </w14:textFill>
        </w:rPr>
      </w:pPr>
      <w:r>
        <w:rPr>
          <w:rFonts w:hint="eastAsia" w:ascii="宋体" w:hAnsi="宋体" w:cs="Arial"/>
          <w:b/>
          <w:bCs/>
          <w:color w:val="000000" w:themeColor="text1"/>
          <w:sz w:val="22"/>
          <w:szCs w:val="22"/>
          <w14:textFill>
            <w14:solidFill>
              <w14:schemeClr w14:val="tx1"/>
            </w14:solidFill>
          </w14:textFill>
        </w:rPr>
        <w:t>▲</w:t>
      </w:r>
      <w:r>
        <w:rPr>
          <w:rFonts w:hint="eastAsia" w:ascii="宋体" w:hAnsi="宋体" w:cs="Arial"/>
          <w:b/>
          <w:bCs/>
          <w:color w:val="000000" w:themeColor="text1"/>
          <w:sz w:val="22"/>
          <w:szCs w:val="22"/>
          <w:u w:val="single"/>
          <w14:textFill>
            <w14:solidFill>
              <w14:schemeClr w14:val="tx1"/>
            </w14:solidFill>
          </w14:textFill>
        </w:rPr>
        <w:t>不同投标人提供同品牌车辆参与本项目投标的，按一家投标人计算。评审后得分最高的同品牌投标人获得中标人推荐资格；评审得分相同的，由招标人或招标人委托评标委员会随机抽取确认。其他同品牌投标人不作为中标候选人。</w:t>
      </w:r>
    </w:p>
    <w:p>
      <w:pPr>
        <w:numPr>
          <w:ilvl w:val="1"/>
          <w:numId w:val="23"/>
        </w:numPr>
        <w:tabs>
          <w:tab w:val="left" w:pos="540"/>
          <w:tab w:val="clear" w:pos="992"/>
        </w:tabs>
        <w:spacing w:line="440" w:lineRule="exact"/>
        <w:ind w:left="540" w:hanging="540"/>
        <w:rPr>
          <w:rFonts w:ascii="宋体" w:hAnsi="宋体" w:cs="Arial"/>
          <w:bCs/>
          <w:color w:val="000000" w:themeColor="text1"/>
          <w:sz w:val="22"/>
          <w:szCs w:val="22"/>
          <w14:textFill>
            <w14:solidFill>
              <w14:schemeClr w14:val="tx1"/>
            </w14:solidFill>
          </w14:textFill>
        </w:rPr>
      </w:pPr>
      <w:r>
        <w:rPr>
          <w:rFonts w:hint="eastAsia" w:ascii="宋体" w:hAnsi="宋体" w:cs="Arial"/>
          <w:bCs/>
          <w:color w:val="000000" w:themeColor="text1"/>
          <w:sz w:val="22"/>
          <w:szCs w:val="22"/>
          <w14:textFill>
            <w14:solidFill>
              <w14:schemeClr w14:val="tx1"/>
            </w14:solidFill>
          </w14:textFill>
        </w:rPr>
        <w:t>评标过程中遇到特殊情况，由评标委员会遵循公开、公正原则，采取投票方式按照少数服从多数原则决定。</w:t>
      </w:r>
    </w:p>
    <w:p>
      <w:pPr>
        <w:numPr>
          <w:ilvl w:val="0"/>
          <w:numId w:val="22"/>
        </w:numPr>
        <w:tabs>
          <w:tab w:val="left" w:pos="540"/>
          <w:tab w:val="clear" w:pos="420"/>
        </w:tabs>
        <w:spacing w:line="440" w:lineRule="exact"/>
        <w:rPr>
          <w:rFonts w:ascii="宋体" w:hAnsi="宋体" w:cs="Arial"/>
          <w:bCs/>
          <w:color w:val="000000" w:themeColor="text1"/>
          <w:sz w:val="22"/>
          <w:szCs w:val="22"/>
          <w14:textFill>
            <w14:solidFill>
              <w14:schemeClr w14:val="tx1"/>
            </w14:solidFill>
          </w14:textFill>
        </w:rPr>
      </w:pPr>
      <w:r>
        <w:rPr>
          <w:rFonts w:hint="eastAsia" w:ascii="宋体" w:hAnsi="宋体" w:cs="Arial"/>
          <w:bCs/>
          <w:color w:val="000000" w:themeColor="text1"/>
          <w:sz w:val="22"/>
          <w:szCs w:val="22"/>
          <w14:textFill>
            <w14:solidFill>
              <w14:schemeClr w14:val="tx1"/>
            </w14:solidFill>
          </w14:textFill>
        </w:rPr>
        <w:t>投标文件的澄清</w:t>
      </w:r>
    </w:p>
    <w:p>
      <w:pPr>
        <w:numPr>
          <w:ilvl w:val="1"/>
          <w:numId w:val="28"/>
        </w:numPr>
        <w:tabs>
          <w:tab w:val="left" w:pos="540"/>
          <w:tab w:val="clear" w:pos="992"/>
        </w:tabs>
        <w:spacing w:line="440" w:lineRule="exact"/>
        <w:ind w:left="540" w:hanging="540"/>
        <w:rPr>
          <w:rFonts w:ascii="宋体" w:hAnsi="宋体"/>
          <w:b/>
          <w:color w:val="000000" w:themeColor="text1"/>
          <w:sz w:val="22"/>
          <w:szCs w:val="22"/>
          <w14:textFill>
            <w14:solidFill>
              <w14:schemeClr w14:val="tx1"/>
            </w14:solidFill>
          </w14:textFill>
        </w:rPr>
      </w:pPr>
      <w:r>
        <w:rPr>
          <w:rFonts w:hint="eastAsia" w:ascii="宋体" w:hAnsi="宋体" w:cs="Arial"/>
          <w:bCs/>
          <w:color w:val="000000" w:themeColor="text1"/>
          <w:sz w:val="22"/>
          <w:szCs w:val="22"/>
          <w14:textFill>
            <w14:solidFill>
              <w14:schemeClr w14:val="tx1"/>
            </w14:solidFill>
          </w14:textFill>
        </w:rPr>
        <w:t>在评标期间，评标委员会可以书面方式要求投标人对投标文件中含义不明确、对同类问题表述不一致或者有明显文字和计算错误的内容作必要的澄清、说明或补正。澄清、说明或补正应以书面形式并由授权代表签署，但澄清内容不得超出投标文件的范围或者改变投标文件的实质性内容。拒不按要求对其投标文件进行澄清，说明或补正的投标人，评标委员会可以否决其投标。</w:t>
      </w:r>
    </w:p>
    <w:p>
      <w:pPr>
        <w:numPr>
          <w:ilvl w:val="1"/>
          <w:numId w:val="28"/>
        </w:numPr>
        <w:tabs>
          <w:tab w:val="left" w:pos="540"/>
          <w:tab w:val="clear" w:pos="992"/>
        </w:tabs>
        <w:spacing w:line="440" w:lineRule="exact"/>
        <w:ind w:left="540" w:hanging="540"/>
        <w:rPr>
          <w:rFonts w:ascii="宋体" w:hAnsi="宋体"/>
          <w:b/>
          <w:color w:val="000000" w:themeColor="text1"/>
          <w:sz w:val="22"/>
          <w:szCs w:val="22"/>
          <w14:textFill>
            <w14:solidFill>
              <w14:schemeClr w14:val="tx1"/>
            </w14:solidFill>
          </w14:textFill>
        </w:rPr>
      </w:pPr>
      <w:r>
        <w:rPr>
          <w:rFonts w:hint="eastAsia" w:ascii="宋体" w:hAnsi="宋体"/>
          <w:b/>
          <w:color w:val="000000" w:themeColor="text1"/>
          <w:sz w:val="22"/>
          <w:szCs w:val="22"/>
          <w14:textFill>
            <w14:solidFill>
              <w14:schemeClr w14:val="tx1"/>
            </w14:solidFill>
          </w14:textFill>
        </w:rPr>
        <w:t>经澄清后，若偏差仍存在，且不可接受，投标人则被认为是“没有实质性响应招标文件要求”，其投标不进入下一步评审。</w:t>
      </w:r>
    </w:p>
    <w:p>
      <w:pPr>
        <w:numPr>
          <w:ilvl w:val="0"/>
          <w:numId w:val="22"/>
        </w:numPr>
        <w:tabs>
          <w:tab w:val="left" w:pos="540"/>
          <w:tab w:val="clear" w:pos="420"/>
        </w:tabs>
        <w:spacing w:line="440" w:lineRule="exact"/>
        <w:rPr>
          <w:rFonts w:ascii="宋体" w:hAnsi="宋体"/>
          <w:color w:val="000000" w:themeColor="text1"/>
          <w:sz w:val="22"/>
          <w:szCs w:val="22"/>
          <w14:textFill>
            <w14:solidFill>
              <w14:schemeClr w14:val="tx1"/>
            </w14:solidFill>
          </w14:textFill>
        </w:rPr>
      </w:pPr>
      <w:r>
        <w:rPr>
          <w:rFonts w:hint="eastAsia" w:ascii="宋体" w:hAnsi="宋体" w:cs="Arial"/>
          <w:bCs/>
          <w:color w:val="000000" w:themeColor="text1"/>
          <w:sz w:val="22"/>
          <w:szCs w:val="22"/>
          <w14:textFill>
            <w14:solidFill>
              <w14:schemeClr w14:val="tx1"/>
            </w14:solidFill>
          </w14:textFill>
        </w:rPr>
        <w:t>确定中标候选人</w:t>
      </w:r>
    </w:p>
    <w:p>
      <w:pPr>
        <w:numPr>
          <w:ilvl w:val="1"/>
          <w:numId w:val="29"/>
        </w:numPr>
        <w:tabs>
          <w:tab w:val="left" w:pos="540"/>
          <w:tab w:val="clear" w:pos="992"/>
        </w:tabs>
        <w:spacing w:line="440" w:lineRule="exact"/>
        <w:ind w:left="540" w:hanging="540"/>
        <w:rPr>
          <w:rFonts w:ascii="宋体" w:hAnsi="宋体"/>
          <w:color w:val="000000" w:themeColor="text1"/>
          <w:sz w:val="22"/>
          <w:szCs w:val="22"/>
          <w14:textFill>
            <w14:solidFill>
              <w14:schemeClr w14:val="tx1"/>
            </w14:solidFill>
          </w14:textFill>
        </w:rPr>
      </w:pPr>
      <w:r>
        <w:rPr>
          <w:rFonts w:hint="eastAsia" w:ascii="宋体" w:hAnsi="宋体"/>
          <w:b/>
          <w:color w:val="000000" w:themeColor="text1"/>
          <w:sz w:val="22"/>
          <w:szCs w:val="22"/>
          <w14:textFill>
            <w14:solidFill>
              <w14:schemeClr w14:val="tx1"/>
            </w14:solidFill>
          </w14:textFill>
        </w:rPr>
        <w:t>本次招标由评标委员会推荐中标候选人。</w:t>
      </w:r>
    </w:p>
    <w:p>
      <w:pPr>
        <w:numPr>
          <w:ilvl w:val="1"/>
          <w:numId w:val="29"/>
        </w:numPr>
        <w:tabs>
          <w:tab w:val="left" w:pos="540"/>
          <w:tab w:val="clear" w:pos="992"/>
        </w:tabs>
        <w:spacing w:line="440" w:lineRule="exact"/>
        <w:ind w:left="540" w:hanging="540"/>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评标委员会依据法律、法规及招标文件有关规定在有效标中按投标人的最终得分（即技术资信分与商务分之和）高低进行排序，得分前二名的投标人依次推荐为中标候选人（得分相同投标报价低的排序第一；得分且投标报价相同的，技术指标优的排序第一）。</w:t>
      </w:r>
    </w:p>
    <w:p>
      <w:pPr>
        <w:numPr>
          <w:ilvl w:val="1"/>
          <w:numId w:val="29"/>
        </w:numPr>
        <w:tabs>
          <w:tab w:val="left" w:pos="540"/>
          <w:tab w:val="clear" w:pos="992"/>
        </w:tabs>
        <w:spacing w:line="440" w:lineRule="exact"/>
        <w:ind w:left="540" w:hanging="540"/>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招标人对评标报告充分评议研究后，根据推荐的中标候选人确定中标人。如中标人放弃中标、或因不可抗力提出不能履行合同，或者招标文件规定应当提交履约保证金而在规定的期限内未能提交的，招标人可以依次选择其他中标候选人为中标人。</w:t>
      </w:r>
    </w:p>
    <w:p>
      <w:pPr>
        <w:numPr>
          <w:ilvl w:val="1"/>
          <w:numId w:val="29"/>
        </w:numPr>
        <w:tabs>
          <w:tab w:val="left" w:pos="540"/>
          <w:tab w:val="clear" w:pos="992"/>
        </w:tabs>
        <w:spacing w:line="440" w:lineRule="exact"/>
        <w:ind w:left="540" w:hanging="540"/>
        <w:rPr>
          <w:rFonts w:ascii="宋体" w:hAnsi="宋体"/>
          <w:b/>
          <w:color w:val="000000" w:themeColor="text1"/>
          <w:sz w:val="22"/>
          <w:szCs w:val="22"/>
          <w14:textFill>
            <w14:solidFill>
              <w14:schemeClr w14:val="tx1"/>
            </w14:solidFill>
          </w14:textFill>
        </w:rPr>
      </w:pPr>
      <w:r>
        <w:rPr>
          <w:rFonts w:hint="eastAsia" w:ascii="宋体" w:hAnsi="宋体"/>
          <w:b/>
          <w:color w:val="000000" w:themeColor="text1"/>
          <w:sz w:val="22"/>
          <w:szCs w:val="22"/>
          <w14:textFill>
            <w14:solidFill>
              <w14:schemeClr w14:val="tx1"/>
            </w14:solidFill>
          </w14:textFill>
        </w:rPr>
        <w:t>招标人对决标结果不做任何解释，也不保证最低报价中标。</w:t>
      </w:r>
    </w:p>
    <w:p>
      <w:pPr>
        <w:numPr>
          <w:ilvl w:val="0"/>
          <w:numId w:val="22"/>
        </w:numPr>
        <w:tabs>
          <w:tab w:val="left" w:pos="540"/>
          <w:tab w:val="clear" w:pos="420"/>
        </w:tabs>
        <w:spacing w:line="440" w:lineRule="exact"/>
        <w:rPr>
          <w:rFonts w:ascii="宋体" w:hAnsi="宋体" w:cs="Arial"/>
          <w:bCs/>
          <w:color w:val="000000" w:themeColor="text1"/>
          <w:sz w:val="22"/>
          <w:szCs w:val="22"/>
          <w14:textFill>
            <w14:solidFill>
              <w14:schemeClr w14:val="tx1"/>
            </w14:solidFill>
          </w14:textFill>
        </w:rPr>
      </w:pPr>
      <w:r>
        <w:rPr>
          <w:rFonts w:hint="eastAsia" w:ascii="宋体" w:hAnsi="宋体" w:cs="Arial"/>
          <w:bCs/>
          <w:color w:val="000000" w:themeColor="text1"/>
          <w:sz w:val="22"/>
          <w:szCs w:val="22"/>
          <w14:textFill>
            <w14:solidFill>
              <w14:schemeClr w14:val="tx1"/>
            </w14:solidFill>
          </w14:textFill>
        </w:rPr>
        <w:t>评标细则详见“第六部分评标原则及方法”。</w:t>
      </w:r>
    </w:p>
    <w:p>
      <w:pPr>
        <w:pStyle w:val="2"/>
      </w:pPr>
    </w:p>
    <w:p>
      <w:pPr>
        <w:pStyle w:val="3"/>
      </w:pPr>
    </w:p>
    <w:p>
      <w:pPr>
        <w:spacing w:before="100" w:beforeAutospacing="1" w:after="100" w:afterAutospacing="1" w:line="440" w:lineRule="exact"/>
        <w:ind w:left="-6"/>
        <w:jc w:val="center"/>
        <w:outlineLvl w:val="0"/>
        <w:rPr>
          <w:rFonts w:ascii="宋体" w:hAnsi="宋体"/>
          <w:b/>
          <w:bCs/>
          <w:color w:val="000000" w:themeColor="text1"/>
          <w:sz w:val="26"/>
          <w:szCs w:val="26"/>
          <w14:textFill>
            <w14:solidFill>
              <w14:schemeClr w14:val="tx1"/>
            </w14:solidFill>
          </w14:textFill>
        </w:rPr>
      </w:pPr>
      <w:bookmarkStart w:id="111" w:name="_Toc221423621"/>
      <w:bookmarkStart w:id="112" w:name="_Toc239145356"/>
      <w:bookmarkStart w:id="113" w:name="_Toc249758866"/>
      <w:bookmarkStart w:id="114" w:name="_Toc221356889"/>
      <w:bookmarkStart w:id="115" w:name="_Toc221374628"/>
      <w:bookmarkStart w:id="116" w:name="_Toc246261267"/>
      <w:bookmarkStart w:id="117" w:name="_Toc221356953"/>
      <w:bookmarkStart w:id="118" w:name="_Toc223716000"/>
      <w:bookmarkStart w:id="119" w:name="_Toc262105505"/>
      <w:bookmarkStart w:id="120" w:name="_Toc245722283"/>
      <w:bookmarkStart w:id="121" w:name="_Toc382360961"/>
      <w:bookmarkStart w:id="122" w:name="_Toc241404204"/>
      <w:bookmarkStart w:id="123" w:name="_Toc222114881"/>
      <w:bookmarkStart w:id="124" w:name="_Toc249758714"/>
      <w:bookmarkStart w:id="125" w:name="_Toc245191316"/>
      <w:bookmarkStart w:id="126" w:name="_Toc262049420"/>
      <w:r>
        <w:rPr>
          <w:rFonts w:hint="eastAsia" w:ascii="宋体" w:hAnsi="宋体"/>
          <w:b/>
          <w:bCs/>
          <w:color w:val="000000" w:themeColor="text1"/>
          <w:sz w:val="26"/>
          <w:szCs w:val="26"/>
          <w14:textFill>
            <w14:solidFill>
              <w14:schemeClr w14:val="tx1"/>
            </w14:solidFill>
          </w14:textFill>
        </w:rPr>
        <w:t>六、 授予合同</w:t>
      </w:r>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p>
    <w:p>
      <w:pPr>
        <w:numPr>
          <w:ilvl w:val="0"/>
          <w:numId w:val="30"/>
        </w:numPr>
        <w:spacing w:line="440" w:lineRule="exact"/>
        <w:rPr>
          <w:rFonts w:ascii="宋体" w:hAnsi="宋体"/>
          <w:bCs/>
          <w:color w:val="000000" w:themeColor="text1"/>
          <w:sz w:val="22"/>
          <w:szCs w:val="22"/>
          <w14:textFill>
            <w14:solidFill>
              <w14:schemeClr w14:val="tx1"/>
            </w14:solidFill>
          </w14:textFill>
        </w:rPr>
      </w:pPr>
      <w:r>
        <w:rPr>
          <w:rFonts w:hint="eastAsia" w:ascii="宋体" w:hAnsi="宋体" w:cs="Arial"/>
          <w:bCs/>
          <w:color w:val="000000" w:themeColor="text1"/>
          <w:sz w:val="22"/>
          <w:szCs w:val="22"/>
          <w14:textFill>
            <w14:solidFill>
              <w14:schemeClr w14:val="tx1"/>
            </w14:solidFill>
          </w14:textFill>
        </w:rPr>
        <w:t xml:space="preserve"> 最终审查</w:t>
      </w:r>
    </w:p>
    <w:p>
      <w:pPr>
        <w:numPr>
          <w:ilvl w:val="1"/>
          <w:numId w:val="31"/>
        </w:numPr>
        <w:tabs>
          <w:tab w:val="left" w:pos="540"/>
          <w:tab w:val="clear" w:pos="992"/>
        </w:tabs>
        <w:spacing w:line="460" w:lineRule="exact"/>
        <w:ind w:left="540" w:hanging="540"/>
        <w:rPr>
          <w:rFonts w:ascii="宋体" w:hAnsi="宋体"/>
          <w:b/>
          <w:bCs/>
          <w:color w:val="000000" w:themeColor="text1"/>
          <w:sz w:val="22"/>
          <w:szCs w:val="22"/>
          <w14:textFill>
            <w14:solidFill>
              <w14:schemeClr w14:val="tx1"/>
            </w14:solidFill>
          </w14:textFill>
        </w:rPr>
      </w:pPr>
      <w:r>
        <w:rPr>
          <w:rFonts w:hint="eastAsia" w:ascii="宋体" w:hAnsi="宋体"/>
          <w:b/>
          <w:color w:val="000000" w:themeColor="text1"/>
          <w:sz w:val="22"/>
          <w:szCs w:val="22"/>
          <w14:textFill>
            <w14:solidFill>
              <w14:schemeClr w14:val="tx1"/>
            </w14:solidFill>
          </w14:textFill>
        </w:rPr>
        <w:t>评审结束后，招标人将对评标委员会推荐的中标候选人进行最终审查，审查内容主要是中标人是否有能力（财务、技术和生产能力）履行合同。</w:t>
      </w:r>
    </w:p>
    <w:p>
      <w:pPr>
        <w:numPr>
          <w:ilvl w:val="1"/>
          <w:numId w:val="31"/>
        </w:numPr>
        <w:tabs>
          <w:tab w:val="left" w:pos="540"/>
          <w:tab w:val="clear" w:pos="992"/>
        </w:tabs>
        <w:spacing w:line="460" w:lineRule="exact"/>
        <w:ind w:left="540" w:hanging="540"/>
        <w:rPr>
          <w:rFonts w:ascii="宋体" w:hAnsi="宋体"/>
          <w:bCs/>
          <w:color w:val="000000" w:themeColor="text1"/>
          <w:sz w:val="22"/>
          <w:szCs w:val="22"/>
          <w14:textFill>
            <w14:solidFill>
              <w14:schemeClr w14:val="tx1"/>
            </w14:solidFill>
          </w14:textFill>
        </w:rPr>
      </w:pPr>
      <w:r>
        <w:rPr>
          <w:rFonts w:hint="eastAsia" w:ascii="宋体" w:hAnsi="宋体"/>
          <w:bCs/>
          <w:color w:val="000000" w:themeColor="text1"/>
          <w:sz w:val="22"/>
          <w:szCs w:val="22"/>
          <w14:textFill>
            <w14:solidFill>
              <w14:schemeClr w14:val="tx1"/>
            </w14:solidFill>
          </w14:textFill>
        </w:rPr>
        <w:t>如果审查通过，招标人将把中标合同授予该中标人，如果审查没有通过，招标人将拒绝其中标，</w:t>
      </w:r>
      <w:r>
        <w:rPr>
          <w:rFonts w:hint="eastAsia" w:ascii="宋体" w:hAnsi="宋体"/>
          <w:color w:val="000000" w:themeColor="text1"/>
          <w:sz w:val="22"/>
          <w:szCs w:val="22"/>
          <w14:textFill>
            <w14:solidFill>
              <w14:schemeClr w14:val="tx1"/>
            </w14:solidFill>
          </w14:textFill>
        </w:rPr>
        <w:t>招标人可以依次选择其他中标候选人</w:t>
      </w:r>
      <w:r>
        <w:rPr>
          <w:rFonts w:hint="eastAsia" w:ascii="宋体" w:hAnsi="宋体"/>
          <w:bCs/>
          <w:color w:val="000000" w:themeColor="text1"/>
          <w:sz w:val="22"/>
          <w:szCs w:val="22"/>
          <w14:textFill>
            <w14:solidFill>
              <w14:schemeClr w14:val="tx1"/>
            </w14:solidFill>
          </w14:textFill>
        </w:rPr>
        <w:t>进行类似审查。若排名后续中标候选人审查仍未通过，此次招标失败，应重新组织招标。</w:t>
      </w:r>
    </w:p>
    <w:p>
      <w:pPr>
        <w:numPr>
          <w:ilvl w:val="1"/>
          <w:numId w:val="31"/>
        </w:numPr>
        <w:tabs>
          <w:tab w:val="left" w:pos="540"/>
          <w:tab w:val="clear" w:pos="992"/>
        </w:tabs>
        <w:spacing w:line="460" w:lineRule="exact"/>
        <w:ind w:left="540" w:hanging="540"/>
        <w:rPr>
          <w:rFonts w:ascii="宋体" w:hAnsi="宋体"/>
          <w:bCs/>
          <w:color w:val="000000" w:themeColor="text1"/>
          <w:sz w:val="22"/>
          <w:szCs w:val="22"/>
          <w14:textFill>
            <w14:solidFill>
              <w14:schemeClr w14:val="tx1"/>
            </w14:solidFill>
          </w14:textFill>
        </w:rPr>
      </w:pPr>
      <w:r>
        <w:rPr>
          <w:rFonts w:hint="eastAsia" w:ascii="宋体" w:hAnsi="宋体"/>
          <w:bCs/>
          <w:color w:val="000000" w:themeColor="text1"/>
          <w:sz w:val="22"/>
          <w:szCs w:val="22"/>
          <w14:textFill>
            <w14:solidFill>
              <w14:schemeClr w14:val="tx1"/>
            </w14:solidFill>
          </w14:textFill>
        </w:rPr>
        <w:t>评标委员会确定的中标候选人经招标人审查合格后在采购指定信息发布媒体上公示，各投标人对评标结果如有异议，可在规定时间内以书面形式向招标人进行署名投诉或提出质疑，但需对投诉或质疑内容的真实性承担法律责任。</w:t>
      </w:r>
    </w:p>
    <w:p>
      <w:pPr>
        <w:numPr>
          <w:ilvl w:val="1"/>
          <w:numId w:val="31"/>
        </w:numPr>
        <w:tabs>
          <w:tab w:val="left" w:pos="540"/>
          <w:tab w:val="clear" w:pos="992"/>
        </w:tabs>
        <w:spacing w:line="460" w:lineRule="exact"/>
        <w:ind w:left="540" w:hanging="540"/>
        <w:rPr>
          <w:rFonts w:ascii="宋体" w:hAnsi="宋体"/>
          <w:bCs/>
          <w:color w:val="000000" w:themeColor="text1"/>
          <w:sz w:val="22"/>
          <w:szCs w:val="22"/>
          <w14:textFill>
            <w14:solidFill>
              <w14:schemeClr w14:val="tx1"/>
            </w14:solidFill>
          </w14:textFill>
        </w:rPr>
      </w:pPr>
      <w:r>
        <w:rPr>
          <w:rFonts w:hint="eastAsia" w:ascii="宋体" w:hAnsi="宋体"/>
          <w:bCs/>
          <w:color w:val="000000" w:themeColor="text1"/>
          <w:sz w:val="22"/>
          <w:szCs w:val="22"/>
          <w14:textFill>
            <w14:solidFill>
              <w14:schemeClr w14:val="tx1"/>
            </w14:solidFill>
          </w14:textFill>
        </w:rPr>
        <w:t>公示期结束后，招标人将根据评标委员会提交的书面评标报告和评审结果最后确定中标人。</w:t>
      </w:r>
    </w:p>
    <w:p>
      <w:pPr>
        <w:numPr>
          <w:ilvl w:val="0"/>
          <w:numId w:val="30"/>
        </w:numPr>
        <w:spacing w:line="440" w:lineRule="exact"/>
        <w:rPr>
          <w:rFonts w:ascii="宋体" w:hAnsi="宋体" w:cs="Arial"/>
          <w:bCs/>
          <w:color w:val="000000" w:themeColor="text1"/>
          <w:sz w:val="22"/>
          <w:szCs w:val="22"/>
          <w14:textFill>
            <w14:solidFill>
              <w14:schemeClr w14:val="tx1"/>
            </w14:solidFill>
          </w14:textFill>
        </w:rPr>
      </w:pPr>
      <w:r>
        <w:rPr>
          <w:rFonts w:hint="eastAsia" w:ascii="宋体" w:hAnsi="宋体" w:cs="Arial"/>
          <w:bCs/>
          <w:color w:val="000000" w:themeColor="text1"/>
          <w:sz w:val="22"/>
          <w:szCs w:val="22"/>
          <w14:textFill>
            <w14:solidFill>
              <w14:schemeClr w14:val="tx1"/>
            </w14:solidFill>
          </w14:textFill>
        </w:rPr>
        <w:t xml:space="preserve"> 中标通知书</w:t>
      </w:r>
    </w:p>
    <w:p>
      <w:pPr>
        <w:numPr>
          <w:ilvl w:val="1"/>
          <w:numId w:val="32"/>
        </w:numPr>
        <w:tabs>
          <w:tab w:val="left" w:pos="540"/>
          <w:tab w:val="clear" w:pos="992"/>
        </w:tabs>
        <w:spacing w:line="460" w:lineRule="exact"/>
        <w:ind w:hanging="992"/>
        <w:rPr>
          <w:rFonts w:ascii="宋体" w:hAnsi="宋体"/>
          <w:color w:val="000000" w:themeColor="text1"/>
          <w:sz w:val="22"/>
          <w:szCs w:val="22"/>
          <w14:textFill>
            <w14:solidFill>
              <w14:schemeClr w14:val="tx1"/>
            </w14:solidFill>
          </w14:textFill>
        </w:rPr>
      </w:pPr>
      <w:r>
        <w:rPr>
          <w:rFonts w:hint="eastAsia" w:ascii="宋体" w:hAnsi="宋体"/>
          <w:bCs/>
          <w:color w:val="000000" w:themeColor="text1"/>
          <w:sz w:val="22"/>
          <w:szCs w:val="22"/>
          <w14:textFill>
            <w14:solidFill>
              <w14:schemeClr w14:val="tx1"/>
            </w14:solidFill>
          </w14:textFill>
        </w:rPr>
        <w:t xml:space="preserve">中标人确定后，招标人将向中标人发出中标通知书。 </w:t>
      </w:r>
    </w:p>
    <w:p>
      <w:pPr>
        <w:numPr>
          <w:ilvl w:val="1"/>
          <w:numId w:val="32"/>
        </w:numPr>
        <w:tabs>
          <w:tab w:val="left" w:pos="540"/>
          <w:tab w:val="clear" w:pos="992"/>
        </w:tabs>
        <w:spacing w:line="460" w:lineRule="exact"/>
        <w:ind w:hanging="992"/>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中标通知书是合同的一个组成部分,对招标人和中标人均具有同等法律效力。</w:t>
      </w:r>
    </w:p>
    <w:p>
      <w:pPr>
        <w:numPr>
          <w:ilvl w:val="0"/>
          <w:numId w:val="30"/>
        </w:numPr>
        <w:spacing w:line="440" w:lineRule="exact"/>
        <w:rPr>
          <w:rFonts w:ascii="宋体" w:hAnsi="宋体"/>
          <w:color w:val="000000" w:themeColor="text1"/>
          <w:sz w:val="22"/>
          <w:szCs w:val="22"/>
          <w14:textFill>
            <w14:solidFill>
              <w14:schemeClr w14:val="tx1"/>
            </w14:solidFill>
          </w14:textFill>
        </w:rPr>
      </w:pPr>
      <w:r>
        <w:rPr>
          <w:rFonts w:hint="eastAsia" w:ascii="宋体" w:hAnsi="宋体" w:cs="Arial"/>
          <w:bCs/>
          <w:color w:val="000000" w:themeColor="text1"/>
          <w:sz w:val="22"/>
          <w:szCs w:val="22"/>
          <w14:textFill>
            <w14:solidFill>
              <w14:schemeClr w14:val="tx1"/>
            </w14:solidFill>
          </w14:textFill>
        </w:rPr>
        <w:t>签订合同</w:t>
      </w:r>
    </w:p>
    <w:p>
      <w:pPr>
        <w:numPr>
          <w:ilvl w:val="1"/>
          <w:numId w:val="33"/>
        </w:numPr>
        <w:tabs>
          <w:tab w:val="clear" w:pos="992"/>
        </w:tabs>
        <w:spacing w:line="460" w:lineRule="exact"/>
        <w:ind w:left="540"/>
        <w:rPr>
          <w:rFonts w:ascii="宋体" w:hAnsi="宋体"/>
          <w:b/>
          <w:color w:val="000000" w:themeColor="text1"/>
          <w:spacing w:val="6"/>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 xml:space="preserve"> 中标人应按中标通知书规定与招标人签订合同。</w:t>
      </w:r>
    </w:p>
    <w:p>
      <w:pPr>
        <w:numPr>
          <w:ilvl w:val="1"/>
          <w:numId w:val="33"/>
        </w:numPr>
        <w:tabs>
          <w:tab w:val="left" w:pos="540"/>
          <w:tab w:val="clear" w:pos="992"/>
        </w:tabs>
        <w:spacing w:line="460" w:lineRule="exact"/>
        <w:ind w:left="540" w:hanging="540"/>
        <w:rPr>
          <w:rFonts w:ascii="宋体" w:hAnsi="宋体"/>
          <w:color w:val="000000" w:themeColor="text1"/>
          <w:sz w:val="22"/>
          <w:szCs w:val="22"/>
          <w14:textFill>
            <w14:solidFill>
              <w14:schemeClr w14:val="tx1"/>
            </w14:solidFill>
          </w14:textFill>
        </w:rPr>
      </w:pPr>
      <w:r>
        <w:rPr>
          <w:rFonts w:hint="eastAsia" w:ascii="宋体" w:hAnsi="宋体"/>
          <w:b/>
          <w:color w:val="000000" w:themeColor="text1"/>
          <w:spacing w:val="6"/>
          <w:sz w:val="22"/>
          <w:szCs w:val="22"/>
          <w14:textFill>
            <w14:solidFill>
              <w14:schemeClr w14:val="tx1"/>
            </w14:solidFill>
          </w14:textFill>
        </w:rPr>
        <w:t>在签订合同前，招标人有权在中标总价不变的前提下要求中标人对商务报价中的不平衡报价和缺漏项进行调整，如果中标人无合理理由拒绝调整，其中标资格将被取消，保证金将被不予退还，且将导致其它进一步的赔偿和处罚。中标人因不可抗力或自身原因不能履行采购合同的，招标人可以与排位在中标人之后的第一位的中标候选人签订采购合同。</w:t>
      </w:r>
    </w:p>
    <w:p>
      <w:pPr>
        <w:numPr>
          <w:ilvl w:val="1"/>
          <w:numId w:val="33"/>
        </w:numPr>
        <w:tabs>
          <w:tab w:val="left" w:pos="540"/>
          <w:tab w:val="clear" w:pos="992"/>
        </w:tabs>
        <w:spacing w:line="460" w:lineRule="exact"/>
        <w:ind w:left="540" w:hanging="540"/>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招标文件、中标人的投标文件、投标修改文件、评标过程中有关澄清文件及经投标人和评委双方签字的询标纪要和中标通知书均作为合同附件。</w:t>
      </w:r>
    </w:p>
    <w:p>
      <w:pPr>
        <w:numPr>
          <w:ilvl w:val="1"/>
          <w:numId w:val="33"/>
        </w:numPr>
        <w:tabs>
          <w:tab w:val="left" w:pos="540"/>
          <w:tab w:val="clear" w:pos="992"/>
        </w:tabs>
        <w:spacing w:line="460" w:lineRule="exact"/>
        <w:ind w:left="540" w:hanging="540"/>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拒签合同的违约责任</w:t>
      </w:r>
    </w:p>
    <w:p>
      <w:pPr>
        <w:spacing w:line="440" w:lineRule="exact"/>
        <w:ind w:left="538" w:leftChars="256"/>
        <w:rPr>
          <w:rFonts w:ascii="宋体" w:hAnsi="宋体"/>
          <w:b/>
          <w:bCs/>
          <w:color w:val="000000" w:themeColor="text1"/>
          <w:sz w:val="22"/>
          <w:szCs w:val="22"/>
          <w14:textFill>
            <w14:solidFill>
              <w14:schemeClr w14:val="tx1"/>
            </w14:solidFill>
          </w14:textFill>
        </w:rPr>
      </w:pPr>
      <w:r>
        <w:rPr>
          <w:rFonts w:hint="eastAsia" w:ascii="宋体" w:hAnsi="宋体"/>
          <w:b/>
          <w:bCs/>
          <w:color w:val="000000" w:themeColor="text1"/>
          <w:sz w:val="22"/>
          <w:szCs w:val="22"/>
          <w14:textFill>
            <w14:solidFill>
              <w14:schemeClr w14:val="tx1"/>
            </w14:solidFill>
          </w14:textFill>
        </w:rPr>
        <w:t>中标人接到中标通知书后，在规定时间内借故否认已经承诺的条件而拒签合同的，以违约处理，其投标保证金将被不予退还。</w:t>
      </w:r>
    </w:p>
    <w:p>
      <w:pPr>
        <w:numPr>
          <w:ilvl w:val="0"/>
          <w:numId w:val="30"/>
        </w:numPr>
        <w:spacing w:line="440" w:lineRule="exact"/>
        <w:rPr>
          <w:rFonts w:ascii="宋体" w:hAnsi="宋体"/>
          <w:color w:val="000000" w:themeColor="text1"/>
          <w:spacing w:val="6"/>
          <w:sz w:val="22"/>
          <w:szCs w:val="22"/>
          <w14:textFill>
            <w14:solidFill>
              <w14:schemeClr w14:val="tx1"/>
            </w14:solidFill>
          </w14:textFill>
        </w:rPr>
      </w:pPr>
      <w:r>
        <w:rPr>
          <w:rFonts w:hint="eastAsia" w:ascii="宋体" w:hAnsi="宋体" w:cs="Arial"/>
          <w:bCs/>
          <w:color w:val="000000" w:themeColor="text1"/>
          <w:sz w:val="22"/>
          <w:szCs w:val="22"/>
          <w14:textFill>
            <w14:solidFill>
              <w14:schemeClr w14:val="tx1"/>
            </w14:solidFill>
          </w14:textFill>
        </w:rPr>
        <w:t>履约保证金</w:t>
      </w:r>
    </w:p>
    <w:p>
      <w:pPr>
        <w:numPr>
          <w:ilvl w:val="1"/>
          <w:numId w:val="34"/>
        </w:numPr>
        <w:tabs>
          <w:tab w:val="left" w:pos="540"/>
          <w:tab w:val="clear" w:pos="992"/>
        </w:tabs>
        <w:spacing w:line="460" w:lineRule="exact"/>
        <w:ind w:left="540"/>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中标人在收到中标通知书后，签订合同前须向甲方提交履约保证金。</w:t>
      </w:r>
    </w:p>
    <w:p>
      <w:pPr>
        <w:numPr>
          <w:ilvl w:val="1"/>
          <w:numId w:val="34"/>
        </w:numPr>
        <w:tabs>
          <w:tab w:val="left" w:pos="540"/>
          <w:tab w:val="clear" w:pos="992"/>
        </w:tabs>
        <w:spacing w:line="460" w:lineRule="exact"/>
        <w:ind w:left="540" w:hanging="540"/>
        <w:rPr>
          <w:rFonts w:ascii="宋体" w:hAnsi="宋体"/>
          <w:color w:val="000000" w:themeColor="text1"/>
          <w:spacing w:val="6"/>
          <w:sz w:val="22"/>
          <w:szCs w:val="22"/>
          <w14:textFill>
            <w14:solidFill>
              <w14:schemeClr w14:val="tx1"/>
            </w14:solidFill>
          </w14:textFill>
        </w:rPr>
      </w:pPr>
      <w:r>
        <w:rPr>
          <w:rFonts w:hint="eastAsia" w:ascii="宋体" w:hAnsi="宋体"/>
          <w:color w:val="000000" w:themeColor="text1"/>
          <w:spacing w:val="6"/>
          <w:sz w:val="22"/>
          <w:szCs w:val="22"/>
          <w14:textFill>
            <w14:solidFill>
              <w14:schemeClr w14:val="tx1"/>
            </w14:solidFill>
          </w14:textFill>
        </w:rPr>
        <w:t>履约保证金用于补偿甲方因乙方不能完成其合同义务而蒙受的损失。</w:t>
      </w:r>
    </w:p>
    <w:p>
      <w:pPr>
        <w:numPr>
          <w:ilvl w:val="1"/>
          <w:numId w:val="34"/>
        </w:numPr>
        <w:tabs>
          <w:tab w:val="left" w:pos="540"/>
          <w:tab w:val="clear" w:pos="992"/>
        </w:tabs>
        <w:spacing w:line="460" w:lineRule="exact"/>
        <w:ind w:left="540" w:hanging="540"/>
        <w:rPr>
          <w:rFonts w:ascii="宋体" w:hAnsi="宋体"/>
          <w:color w:val="000000" w:themeColor="text1"/>
          <w:spacing w:val="6"/>
          <w:sz w:val="22"/>
          <w:szCs w:val="22"/>
          <w14:textFill>
            <w14:solidFill>
              <w14:schemeClr w14:val="tx1"/>
            </w14:solidFill>
          </w14:textFill>
        </w:rPr>
      </w:pPr>
      <w:r>
        <w:rPr>
          <w:rFonts w:hint="eastAsia" w:ascii="宋体" w:hAnsi="宋体"/>
          <w:color w:val="000000" w:themeColor="text1"/>
          <w:spacing w:val="6"/>
          <w:sz w:val="22"/>
          <w:szCs w:val="22"/>
          <w14:textFill>
            <w14:solidFill>
              <w14:schemeClr w14:val="tx1"/>
            </w14:solidFill>
          </w14:textFill>
        </w:rPr>
        <w:t>履约保证金自合同签订之日起至服务完成之日止有效。有效期满后，甲方应及时将履约保证金无息退还给乙方。</w:t>
      </w:r>
    </w:p>
    <w:p>
      <w:pPr>
        <w:numPr>
          <w:ilvl w:val="0"/>
          <w:numId w:val="30"/>
        </w:numPr>
        <w:spacing w:line="440" w:lineRule="exact"/>
        <w:rPr>
          <w:rFonts w:ascii="宋体" w:hAnsi="宋体" w:cs="Arial"/>
          <w:b/>
          <w:bCs/>
          <w:color w:val="000000" w:themeColor="text1"/>
          <w:sz w:val="22"/>
          <w:szCs w:val="22"/>
          <w14:textFill>
            <w14:solidFill>
              <w14:schemeClr w14:val="tx1"/>
            </w14:solidFill>
          </w14:textFill>
        </w:rPr>
      </w:pPr>
      <w:r>
        <w:rPr>
          <w:rFonts w:hint="eastAsia" w:ascii="宋体" w:hAnsi="宋体" w:cs="Arial"/>
          <w:b/>
          <w:bCs/>
          <w:color w:val="000000" w:themeColor="text1"/>
          <w:sz w:val="22"/>
          <w:szCs w:val="22"/>
          <w14:textFill>
            <w14:solidFill>
              <w14:schemeClr w14:val="tx1"/>
            </w14:solidFill>
          </w14:textFill>
        </w:rPr>
        <w:t>采购代理服务费</w:t>
      </w:r>
    </w:p>
    <w:p>
      <w:pPr>
        <w:numPr>
          <w:ilvl w:val="1"/>
          <w:numId w:val="35"/>
        </w:numPr>
        <w:tabs>
          <w:tab w:val="left" w:pos="540"/>
          <w:tab w:val="clear" w:pos="992"/>
        </w:tabs>
        <w:spacing w:line="460" w:lineRule="exact"/>
        <w:ind w:left="540"/>
        <w:rPr>
          <w:rFonts w:ascii="宋体" w:hAnsi="宋体" w:cs="Arial"/>
          <w:color w:val="000000" w:themeColor="text1"/>
          <w:sz w:val="22"/>
          <w:szCs w:val="22"/>
          <w14:textFill>
            <w14:solidFill>
              <w14:schemeClr w14:val="tx1"/>
            </w14:solidFill>
          </w14:textFill>
        </w:rPr>
      </w:pPr>
      <w:r>
        <w:rPr>
          <w:rFonts w:hint="eastAsia" w:ascii="宋体" w:hAnsi="宋体" w:cs="Arial"/>
          <w:b/>
          <w:color w:val="000000" w:themeColor="text1"/>
          <w:sz w:val="22"/>
          <w:szCs w:val="22"/>
          <w:u w:val="single"/>
          <w14:textFill>
            <w14:solidFill>
              <w14:schemeClr w14:val="tx1"/>
            </w14:solidFill>
          </w14:textFill>
        </w:rPr>
        <w:t>本次招标，采购代理服务费按固定金额人民币</w:t>
      </w:r>
      <w:r>
        <w:rPr>
          <w:rFonts w:hint="eastAsia" w:ascii="宋体" w:hAnsi="宋体" w:cs="Arial"/>
          <w:b/>
          <w:color w:val="auto"/>
          <w:sz w:val="22"/>
          <w:szCs w:val="22"/>
          <w:u w:val="single"/>
          <w:lang w:eastAsia="zh-CN"/>
        </w:rPr>
        <w:t>捌</w:t>
      </w:r>
      <w:r>
        <w:rPr>
          <w:rFonts w:hint="eastAsia" w:ascii="宋体" w:hAnsi="宋体" w:cs="Arial"/>
          <w:b/>
          <w:color w:val="auto"/>
          <w:sz w:val="22"/>
          <w:szCs w:val="22"/>
          <w:u w:val="single"/>
        </w:rPr>
        <w:t>仟元整（不含税）收</w:t>
      </w:r>
      <w:r>
        <w:rPr>
          <w:rFonts w:hint="eastAsia" w:ascii="宋体" w:hAnsi="宋体" w:cs="Arial"/>
          <w:b/>
          <w:color w:val="000000" w:themeColor="text1"/>
          <w:sz w:val="22"/>
          <w:szCs w:val="22"/>
          <w:u w:val="single"/>
          <w14:textFill>
            <w14:solidFill>
              <w14:schemeClr w14:val="tx1"/>
            </w14:solidFill>
          </w14:textFill>
        </w:rPr>
        <w:t>取，中标人在领取中标通知书之前支付给招标代理机构</w:t>
      </w:r>
      <w:r>
        <w:rPr>
          <w:rFonts w:hint="eastAsia" w:ascii="宋体" w:hAnsi="宋体" w:cs="Arial"/>
          <w:color w:val="000000" w:themeColor="text1"/>
          <w:sz w:val="22"/>
          <w:szCs w:val="22"/>
          <w:u w:val="single"/>
          <w14:textFill>
            <w14:solidFill>
              <w14:schemeClr w14:val="tx1"/>
            </w14:solidFill>
          </w14:textFill>
        </w:rPr>
        <w:t>。</w:t>
      </w:r>
    </w:p>
    <w:p>
      <w:pPr>
        <w:numPr>
          <w:ilvl w:val="1"/>
          <w:numId w:val="35"/>
        </w:numPr>
        <w:tabs>
          <w:tab w:val="left" w:pos="540"/>
          <w:tab w:val="clear" w:pos="992"/>
        </w:tabs>
        <w:spacing w:line="460" w:lineRule="exact"/>
        <w:ind w:left="540" w:hanging="540"/>
        <w:rPr>
          <w:rFonts w:ascii="宋体" w:hAnsi="宋体" w:cs="Arial"/>
          <w:color w:val="000000" w:themeColor="text1"/>
          <w:sz w:val="22"/>
          <w:szCs w:val="22"/>
          <w14:textFill>
            <w14:solidFill>
              <w14:schemeClr w14:val="tx1"/>
            </w14:solidFill>
          </w14:textFill>
        </w:rPr>
      </w:pPr>
      <w:r>
        <w:rPr>
          <w:rFonts w:hint="eastAsia" w:ascii="宋体" w:hAnsi="宋体" w:cs="Arial"/>
          <w:color w:val="000000" w:themeColor="text1"/>
          <w:sz w:val="22"/>
          <w:szCs w:val="22"/>
          <w14:textFill>
            <w14:solidFill>
              <w14:schemeClr w14:val="tx1"/>
            </w14:solidFill>
          </w14:textFill>
        </w:rPr>
        <w:t>采购代理服务费可以是现金、支票或汇票。</w:t>
      </w:r>
    </w:p>
    <w:p>
      <w:pPr>
        <w:pStyle w:val="4"/>
        <w:rPr>
          <w:rFonts w:ascii="宋体" w:hAnsi="宋体" w:eastAsia="宋体" w:cs="Arial"/>
          <w:color w:val="000000" w:themeColor="text1"/>
          <w:sz w:val="36"/>
          <w:szCs w:val="36"/>
          <w14:textFill>
            <w14:solidFill>
              <w14:schemeClr w14:val="tx1"/>
            </w14:solidFill>
          </w14:textFill>
        </w:rPr>
      </w:pPr>
      <w:r>
        <w:rPr>
          <w:rFonts w:hint="eastAsia" w:ascii="宋体" w:hAnsi="宋体" w:eastAsia="宋体"/>
          <w:color w:val="000000" w:themeColor="text1"/>
          <w:sz w:val="22"/>
          <w:szCs w:val="22"/>
          <w14:textFill>
            <w14:solidFill>
              <w14:schemeClr w14:val="tx1"/>
            </w14:solidFill>
          </w14:textFill>
        </w:rPr>
        <w:br w:type="page"/>
      </w:r>
      <w:bookmarkStart w:id="127" w:name="_Toc239145357"/>
      <w:bookmarkStart w:id="128" w:name="_Toc221356890"/>
      <w:bookmarkStart w:id="129" w:name="_Toc245722284"/>
      <w:bookmarkStart w:id="130" w:name="_Toc382360962"/>
      <w:bookmarkStart w:id="131" w:name="_Toc223716001"/>
      <w:bookmarkStart w:id="132" w:name="_Toc249758867"/>
      <w:bookmarkStart w:id="133" w:name="_Toc262105506"/>
      <w:bookmarkStart w:id="134" w:name="_Toc245191317"/>
      <w:bookmarkStart w:id="135" w:name="_Toc262049421"/>
      <w:bookmarkStart w:id="136" w:name="_Toc221356954"/>
      <w:bookmarkStart w:id="137" w:name="_Toc222114882"/>
      <w:bookmarkStart w:id="138" w:name="_Toc246261268"/>
      <w:bookmarkStart w:id="139" w:name="_Toc221423622"/>
      <w:bookmarkStart w:id="140" w:name="_Toc249758715"/>
      <w:bookmarkStart w:id="141" w:name="_Toc241404205"/>
      <w:bookmarkStart w:id="142" w:name="_Toc221374629"/>
      <w:r>
        <w:rPr>
          <w:rFonts w:hint="eastAsia" w:ascii="宋体" w:hAnsi="宋体" w:eastAsia="宋体" w:cs="Arial"/>
          <w:color w:val="000000" w:themeColor="text1"/>
          <w:sz w:val="36"/>
          <w:szCs w:val="36"/>
          <w14:textFill>
            <w14:solidFill>
              <w14:schemeClr w14:val="tx1"/>
            </w14:solidFill>
          </w14:textFill>
        </w:rPr>
        <w:t>第二部分   合同主要条款</w:t>
      </w:r>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p>
    <w:p>
      <w:pPr>
        <w:pStyle w:val="15"/>
        <w:snapToGrid w:val="0"/>
        <w:spacing w:line="440" w:lineRule="exact"/>
        <w:ind w:left="105" w:leftChars="50" w:firstLine="440" w:firstLineChars="200"/>
        <w:rPr>
          <w:rFonts w:hAnsi="宋体"/>
          <w:color w:val="000000" w:themeColor="text1"/>
          <w:sz w:val="22"/>
          <w:szCs w:val="22"/>
          <w14:textFill>
            <w14:solidFill>
              <w14:schemeClr w14:val="tx1"/>
            </w14:solidFill>
          </w14:textFill>
        </w:rPr>
      </w:pPr>
      <w:bookmarkStart w:id="143" w:name="_Toc262105509"/>
      <w:bookmarkStart w:id="144" w:name="_Toc249758870"/>
      <w:bookmarkStart w:id="145" w:name="_Toc262049424"/>
      <w:bookmarkStart w:id="146" w:name="_Toc221356892"/>
      <w:bookmarkStart w:id="147" w:name="_Toc245722286"/>
      <w:bookmarkStart w:id="148" w:name="_Toc221374631"/>
      <w:bookmarkStart w:id="149" w:name="_Toc246261270"/>
      <w:bookmarkStart w:id="150" w:name="_Toc241404207"/>
      <w:bookmarkStart w:id="151" w:name="_Toc223716003"/>
      <w:bookmarkStart w:id="152" w:name="_Toc249758718"/>
      <w:bookmarkStart w:id="153" w:name="_Toc249758719"/>
      <w:bookmarkStart w:id="154" w:name="_Toc239145359"/>
      <w:bookmarkStart w:id="155" w:name="_Toc221356956"/>
      <w:bookmarkStart w:id="156" w:name="_Toc221423624"/>
      <w:bookmarkStart w:id="157" w:name="_Toc245191319"/>
      <w:bookmarkStart w:id="158" w:name="_Toc222114884"/>
      <w:r>
        <w:rPr>
          <w:rFonts w:hint="eastAsia" w:hAnsi="宋体"/>
          <w:color w:val="000000" w:themeColor="text1"/>
          <w:sz w:val="22"/>
          <w:szCs w:val="22"/>
          <w14:textFill>
            <w14:solidFill>
              <w14:schemeClr w14:val="tx1"/>
            </w14:solidFill>
          </w14:textFill>
        </w:rPr>
        <w:t>说明：如甲、乙双方同意，合同格式也可以按照其他形式。但合同条款的基本内容应与合同主要条款要求的内容相一致。</w:t>
      </w:r>
    </w:p>
    <w:p>
      <w:pPr>
        <w:pStyle w:val="15"/>
        <w:snapToGrid w:val="0"/>
        <w:spacing w:line="440" w:lineRule="exact"/>
        <w:ind w:left="105" w:leftChars="50" w:firstLine="440" w:firstLineChars="200"/>
        <w:rPr>
          <w:rFonts w:hAnsi="宋体"/>
          <w:color w:val="000000" w:themeColor="text1"/>
          <w:sz w:val="22"/>
          <w:szCs w:val="22"/>
          <w14:textFill>
            <w14:solidFill>
              <w14:schemeClr w14:val="tx1"/>
            </w14:solidFill>
          </w14:textFill>
        </w:rPr>
      </w:pPr>
    </w:p>
    <w:tbl>
      <w:tblPr>
        <w:tblStyle w:val="30"/>
        <w:tblW w:w="9749" w:type="dxa"/>
        <w:jc w:val="center"/>
        <w:tblInd w:w="0" w:type="dxa"/>
        <w:tblLayout w:type="fixed"/>
        <w:tblCellMar>
          <w:top w:w="0" w:type="dxa"/>
          <w:left w:w="108" w:type="dxa"/>
          <w:bottom w:w="0" w:type="dxa"/>
          <w:right w:w="108" w:type="dxa"/>
        </w:tblCellMar>
      </w:tblPr>
      <w:tblGrid>
        <w:gridCol w:w="4875"/>
        <w:gridCol w:w="4874"/>
      </w:tblGrid>
      <w:tr>
        <w:tblPrEx>
          <w:tblLayout w:type="fixed"/>
          <w:tblCellMar>
            <w:top w:w="0" w:type="dxa"/>
            <w:left w:w="108" w:type="dxa"/>
            <w:bottom w:w="0" w:type="dxa"/>
            <w:right w:w="108" w:type="dxa"/>
          </w:tblCellMar>
        </w:tblPrEx>
        <w:trPr>
          <w:jc w:val="center"/>
        </w:trPr>
        <w:tc>
          <w:tcPr>
            <w:tcW w:w="4875" w:type="dxa"/>
            <w:vAlign w:val="center"/>
          </w:tcPr>
          <w:p>
            <w:pPr>
              <w:spacing w:line="360" w:lineRule="auto"/>
              <w:rPr>
                <w:rFonts w:ascii="宋体" w:hAnsi="宋体"/>
                <w:color w:val="auto"/>
                <w:sz w:val="22"/>
                <w:szCs w:val="22"/>
              </w:rPr>
            </w:pPr>
            <w:r>
              <w:rPr>
                <w:rFonts w:hint="eastAsia" w:ascii="宋体" w:hAnsi="宋体"/>
                <w:color w:val="auto"/>
                <w:sz w:val="22"/>
                <w:szCs w:val="22"/>
              </w:rPr>
              <w:t xml:space="preserve">甲  方：   </w:t>
            </w:r>
          </w:p>
        </w:tc>
        <w:tc>
          <w:tcPr>
            <w:tcW w:w="4874" w:type="dxa"/>
          </w:tcPr>
          <w:p>
            <w:pPr>
              <w:spacing w:line="460" w:lineRule="exact"/>
              <w:jc w:val="left"/>
              <w:rPr>
                <w:rFonts w:ascii="宋体" w:hAnsi="宋体"/>
                <w:color w:val="auto"/>
                <w:sz w:val="22"/>
                <w:szCs w:val="22"/>
              </w:rPr>
            </w:pPr>
            <w:r>
              <w:rPr>
                <w:rFonts w:hint="eastAsia" w:ascii="宋体" w:hAnsi="宋体"/>
                <w:color w:val="auto"/>
                <w:sz w:val="22"/>
                <w:szCs w:val="22"/>
              </w:rPr>
              <w:t>签约时间：  年   月   日</w:t>
            </w:r>
          </w:p>
        </w:tc>
      </w:tr>
      <w:tr>
        <w:tblPrEx>
          <w:tblLayout w:type="fixed"/>
          <w:tblCellMar>
            <w:top w:w="0" w:type="dxa"/>
            <w:left w:w="108" w:type="dxa"/>
            <w:bottom w:w="0" w:type="dxa"/>
            <w:right w:w="108" w:type="dxa"/>
          </w:tblCellMar>
        </w:tblPrEx>
        <w:trPr>
          <w:jc w:val="center"/>
        </w:trPr>
        <w:tc>
          <w:tcPr>
            <w:tcW w:w="4875" w:type="dxa"/>
            <w:vAlign w:val="center"/>
          </w:tcPr>
          <w:p>
            <w:pPr>
              <w:pStyle w:val="15"/>
              <w:snapToGrid w:val="0"/>
              <w:spacing w:line="440" w:lineRule="exact"/>
              <w:rPr>
                <w:rFonts w:hAnsi="宋体"/>
                <w:color w:val="000000" w:themeColor="text1"/>
                <w:sz w:val="22"/>
                <w:szCs w:val="22"/>
                <w14:textFill>
                  <w14:solidFill>
                    <w14:schemeClr w14:val="tx1"/>
                  </w14:solidFill>
                </w14:textFill>
              </w:rPr>
            </w:pPr>
            <w:r>
              <w:rPr>
                <w:rFonts w:hint="eastAsia" w:hAnsi="宋体"/>
                <w:color w:val="000000" w:themeColor="text1"/>
                <w:sz w:val="22"/>
                <w:szCs w:val="22"/>
                <w14:textFill>
                  <w14:solidFill>
                    <w14:schemeClr w14:val="tx1"/>
                  </w14:solidFill>
                </w14:textFill>
              </w:rPr>
              <w:t xml:space="preserve">乙  方：  </w:t>
            </w:r>
          </w:p>
        </w:tc>
        <w:tc>
          <w:tcPr>
            <w:tcW w:w="4874" w:type="dxa"/>
          </w:tcPr>
          <w:p>
            <w:pPr>
              <w:pStyle w:val="15"/>
              <w:snapToGrid w:val="0"/>
              <w:spacing w:line="440" w:lineRule="exact"/>
              <w:rPr>
                <w:rFonts w:hAnsi="宋体"/>
                <w:color w:val="000000" w:themeColor="text1"/>
                <w:sz w:val="22"/>
                <w:szCs w:val="22"/>
                <w14:textFill>
                  <w14:solidFill>
                    <w14:schemeClr w14:val="tx1"/>
                  </w14:solidFill>
                </w14:textFill>
              </w:rPr>
            </w:pPr>
            <w:r>
              <w:rPr>
                <w:rFonts w:hint="eastAsia" w:hAnsi="宋体"/>
                <w:color w:val="000000" w:themeColor="text1"/>
                <w:sz w:val="22"/>
                <w:szCs w:val="22"/>
                <w14:textFill>
                  <w14:solidFill>
                    <w14:schemeClr w14:val="tx1"/>
                  </w14:solidFill>
                </w14:textFill>
              </w:rPr>
              <w:t>签约地点</w:t>
            </w:r>
          </w:p>
        </w:tc>
      </w:tr>
    </w:tbl>
    <w:p>
      <w:pPr>
        <w:pStyle w:val="15"/>
        <w:snapToGrid w:val="0"/>
        <w:spacing w:line="440" w:lineRule="exact"/>
        <w:ind w:left="105" w:leftChars="50" w:firstLine="440" w:firstLineChars="200"/>
        <w:rPr>
          <w:rFonts w:hAnsi="宋体"/>
          <w:color w:val="000000" w:themeColor="text1"/>
          <w:sz w:val="22"/>
          <w:szCs w:val="22"/>
          <w14:textFill>
            <w14:solidFill>
              <w14:schemeClr w14:val="tx1"/>
            </w14:solidFill>
          </w14:textFill>
        </w:rPr>
      </w:pPr>
    </w:p>
    <w:p>
      <w:pPr>
        <w:spacing w:line="440" w:lineRule="exact"/>
        <w:ind w:firstLine="389" w:firstLineChars="177"/>
        <w:rPr>
          <w:rFonts w:ascii="宋体" w:hAnsi="宋体"/>
          <w:color w:val="000000" w:themeColor="text1"/>
          <w:sz w:val="22"/>
          <w:szCs w:val="22"/>
          <w14:textFill>
            <w14:solidFill>
              <w14:schemeClr w14:val="tx1"/>
            </w14:solidFill>
          </w14:textFill>
        </w:rPr>
      </w:pPr>
      <w:r>
        <w:rPr>
          <w:rFonts w:ascii="宋体" w:hAnsi="宋体"/>
          <w:color w:val="000000" w:themeColor="text1"/>
          <w:sz w:val="22"/>
          <w:szCs w:val="22"/>
          <w14:textFill>
            <w14:solidFill>
              <w14:schemeClr w14:val="tx1"/>
            </w14:solidFill>
          </w14:textFill>
        </w:rPr>
        <w:t>签于甲方于2019年</w:t>
      </w:r>
      <w:r>
        <w:rPr>
          <w:rFonts w:hint="eastAsia" w:ascii="宋体" w:hAnsi="宋体"/>
          <w:color w:val="000000" w:themeColor="text1"/>
          <w:sz w:val="22"/>
          <w:szCs w:val="22"/>
          <w:lang w:val="en-US" w:eastAsia="zh-CN"/>
          <w14:textFill>
            <w14:solidFill>
              <w14:schemeClr w14:val="tx1"/>
            </w14:solidFill>
          </w14:textFill>
        </w:rPr>
        <w:t xml:space="preserve">  </w:t>
      </w:r>
      <w:r>
        <w:rPr>
          <w:rFonts w:ascii="宋体" w:hAnsi="宋体"/>
          <w:color w:val="000000" w:themeColor="text1"/>
          <w:sz w:val="22"/>
          <w:szCs w:val="22"/>
          <w14:textFill>
            <w14:solidFill>
              <w14:schemeClr w14:val="tx1"/>
            </w14:solidFill>
          </w14:textFill>
        </w:rPr>
        <w:t>月</w:t>
      </w:r>
      <w:r>
        <w:rPr>
          <w:rFonts w:hint="eastAsia" w:ascii="宋体" w:hAnsi="宋体"/>
          <w:color w:val="000000" w:themeColor="text1"/>
          <w:sz w:val="22"/>
          <w:szCs w:val="22"/>
          <w:lang w:val="en-US" w:eastAsia="zh-CN"/>
          <w14:textFill>
            <w14:solidFill>
              <w14:schemeClr w14:val="tx1"/>
            </w14:solidFill>
          </w14:textFill>
        </w:rPr>
        <w:t xml:space="preserve">   </w:t>
      </w:r>
      <w:r>
        <w:rPr>
          <w:rFonts w:ascii="宋体" w:hAnsi="宋体"/>
          <w:color w:val="000000" w:themeColor="text1"/>
          <w:sz w:val="22"/>
          <w:szCs w:val="22"/>
          <w14:textFill>
            <w14:solidFill>
              <w14:schemeClr w14:val="tx1"/>
            </w14:solidFill>
          </w14:textFill>
        </w:rPr>
        <w:t>日接受乙方对</w:t>
      </w:r>
      <w:r>
        <w:rPr>
          <w:rFonts w:hint="eastAsia" w:ascii="宋体" w:hAnsi="宋体"/>
          <w:color w:val="000000" w:themeColor="text1"/>
          <w:sz w:val="22"/>
          <w:szCs w:val="22"/>
          <w:u w:val="single"/>
          <w14:textFill>
            <w14:solidFill>
              <w14:schemeClr w14:val="tx1"/>
            </w14:solidFill>
          </w14:textFill>
        </w:rPr>
        <w:t xml:space="preserve">                            项目</w:t>
      </w:r>
      <w:r>
        <w:rPr>
          <w:rFonts w:ascii="宋体" w:hAnsi="宋体"/>
          <w:color w:val="000000" w:themeColor="text1"/>
          <w:sz w:val="22"/>
          <w:szCs w:val="22"/>
          <w14:textFill>
            <w14:solidFill>
              <w14:schemeClr w14:val="tx1"/>
            </w14:solidFill>
          </w14:textFill>
        </w:rPr>
        <w:t>投标,双方根据《中华人民共和国合同法》和本项目的</w:t>
      </w:r>
      <w:r>
        <w:rPr>
          <w:rFonts w:hint="eastAsia" w:ascii="宋体" w:hAnsi="宋体"/>
          <w:color w:val="000000" w:themeColor="text1"/>
          <w:sz w:val="22"/>
          <w:szCs w:val="22"/>
          <w14:textFill>
            <w14:solidFill>
              <w14:schemeClr w14:val="tx1"/>
            </w14:solidFill>
          </w14:textFill>
        </w:rPr>
        <w:t>招标</w:t>
      </w:r>
      <w:r>
        <w:rPr>
          <w:rFonts w:ascii="宋体" w:hAnsi="宋体"/>
          <w:color w:val="000000" w:themeColor="text1"/>
          <w:sz w:val="22"/>
          <w:szCs w:val="22"/>
          <w14:textFill>
            <w14:solidFill>
              <w14:schemeClr w14:val="tx1"/>
            </w14:solidFill>
          </w14:textFill>
        </w:rPr>
        <w:t>文件、</w:t>
      </w:r>
      <w:r>
        <w:rPr>
          <w:rFonts w:hint="eastAsia" w:ascii="宋体" w:hAnsi="宋体"/>
          <w:color w:val="000000" w:themeColor="text1"/>
          <w:sz w:val="22"/>
          <w:szCs w:val="22"/>
          <w14:textFill>
            <w14:solidFill>
              <w14:schemeClr w14:val="tx1"/>
            </w14:solidFill>
          </w14:textFill>
        </w:rPr>
        <w:t>投标</w:t>
      </w:r>
      <w:r>
        <w:rPr>
          <w:rFonts w:ascii="宋体" w:hAnsi="宋体"/>
          <w:color w:val="000000" w:themeColor="text1"/>
          <w:sz w:val="22"/>
          <w:szCs w:val="22"/>
          <w14:textFill>
            <w14:solidFill>
              <w14:schemeClr w14:val="tx1"/>
            </w14:solidFill>
          </w14:textFill>
        </w:rPr>
        <w:t>文件及其投标中的承诺,经双方协商,同意签订本合同,共同遵守。</w:t>
      </w:r>
    </w:p>
    <w:p>
      <w:pPr>
        <w:spacing w:line="440" w:lineRule="exact"/>
        <w:ind w:firstLine="389" w:firstLineChars="177"/>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1.</w:t>
      </w:r>
      <w:r>
        <w:rPr>
          <w:rFonts w:hint="eastAsia" w:ascii="宋体" w:hAnsi="宋体"/>
          <w:b/>
          <w:color w:val="000000" w:themeColor="text1"/>
          <w:sz w:val="22"/>
          <w:szCs w:val="22"/>
          <w14:textFill>
            <w14:solidFill>
              <w14:schemeClr w14:val="tx1"/>
            </w14:solidFill>
          </w14:textFill>
        </w:rPr>
        <w:t>合同内容</w:t>
      </w:r>
      <w:r>
        <w:rPr>
          <w:rFonts w:hint="eastAsia" w:ascii="宋体" w:hAnsi="宋体"/>
          <w:color w:val="000000" w:themeColor="text1"/>
          <w:sz w:val="22"/>
          <w:szCs w:val="22"/>
          <w14:textFill>
            <w14:solidFill>
              <w14:schemeClr w14:val="tx1"/>
            </w14:solidFill>
          </w14:textFill>
        </w:rPr>
        <w:t>：依据招标文件及招标人规定内容。</w:t>
      </w:r>
    </w:p>
    <w:p>
      <w:pPr>
        <w:spacing w:line="440" w:lineRule="exact"/>
        <w:ind w:firstLine="389" w:firstLineChars="177"/>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2.</w:t>
      </w:r>
      <w:r>
        <w:rPr>
          <w:rFonts w:hint="eastAsia" w:ascii="宋体" w:hAnsi="宋体"/>
          <w:b/>
          <w:color w:val="000000" w:themeColor="text1"/>
          <w:sz w:val="22"/>
          <w:szCs w:val="22"/>
          <w14:textFill>
            <w14:solidFill>
              <w14:schemeClr w14:val="tx1"/>
            </w14:solidFill>
          </w14:textFill>
        </w:rPr>
        <w:t>合同价格</w:t>
      </w:r>
    </w:p>
    <w:p>
      <w:pPr>
        <w:spacing w:line="440" w:lineRule="exact"/>
        <w:ind w:firstLine="389" w:firstLineChars="177"/>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本合同总价为人民币万元。</w:t>
      </w:r>
    </w:p>
    <w:p>
      <w:pPr>
        <w:spacing w:line="440" w:lineRule="exact"/>
        <w:ind w:firstLine="389" w:firstLineChars="177"/>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3.</w:t>
      </w:r>
      <w:r>
        <w:rPr>
          <w:rFonts w:hint="eastAsia" w:ascii="宋体" w:hAnsi="宋体"/>
          <w:b/>
          <w:color w:val="000000" w:themeColor="text1"/>
          <w:sz w:val="22"/>
          <w:szCs w:val="22"/>
          <w14:textFill>
            <w14:solidFill>
              <w14:schemeClr w14:val="tx1"/>
            </w14:solidFill>
          </w14:textFill>
        </w:rPr>
        <w:t>交货时间</w:t>
      </w:r>
      <w:r>
        <w:rPr>
          <w:rFonts w:hint="eastAsia" w:ascii="宋体" w:hAnsi="宋体"/>
          <w:color w:val="000000" w:themeColor="text1"/>
          <w:sz w:val="22"/>
          <w:szCs w:val="22"/>
          <w14:textFill>
            <w14:solidFill>
              <w14:schemeClr w14:val="tx1"/>
            </w14:solidFill>
          </w14:textFill>
        </w:rPr>
        <w:t>：。</w:t>
      </w:r>
    </w:p>
    <w:p>
      <w:pPr>
        <w:spacing w:line="440" w:lineRule="exact"/>
        <w:ind w:firstLine="389" w:firstLineChars="177"/>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4.</w:t>
      </w:r>
      <w:r>
        <w:rPr>
          <w:rFonts w:hint="eastAsia" w:ascii="宋体" w:hAnsi="宋体"/>
          <w:b/>
          <w:color w:val="000000" w:themeColor="text1"/>
          <w:sz w:val="22"/>
          <w:szCs w:val="22"/>
          <w14:textFill>
            <w14:solidFill>
              <w14:schemeClr w14:val="tx1"/>
            </w14:solidFill>
          </w14:textFill>
        </w:rPr>
        <w:t>免费质保期</w:t>
      </w:r>
      <w:r>
        <w:rPr>
          <w:rFonts w:hint="eastAsia" w:ascii="宋体" w:hAnsi="宋体"/>
          <w:color w:val="000000" w:themeColor="text1"/>
          <w:sz w:val="22"/>
          <w:szCs w:val="22"/>
          <w14:textFill>
            <w14:solidFill>
              <w14:schemeClr w14:val="tx1"/>
            </w14:solidFill>
          </w14:textFill>
        </w:rPr>
        <w:t>：</w:t>
      </w:r>
    </w:p>
    <w:p>
      <w:pPr>
        <w:spacing w:line="440" w:lineRule="exact"/>
        <w:ind w:firstLine="389" w:firstLineChars="177"/>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 xml:space="preserve">  （1）车辆保修期：按生产厂保修手册执行。在质保期内，乙方对人为破坏或合同规定的不可抗因素造成的损坏，不承担任何责任，但是可收取一定的成本费用予以维修。</w:t>
      </w:r>
    </w:p>
    <w:p>
      <w:pPr>
        <w:spacing w:line="440" w:lineRule="exact"/>
        <w:ind w:firstLine="389" w:firstLineChars="177"/>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 xml:space="preserve">  （2）乙方在投标文件中说明在保质期内提供的服务计划。</w:t>
      </w:r>
    </w:p>
    <w:p>
      <w:pPr>
        <w:spacing w:line="440" w:lineRule="exact"/>
        <w:ind w:firstLine="389" w:firstLineChars="177"/>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 xml:space="preserve">  （3）乙方要对整车质量负责，无论零部件是标配或选配。</w:t>
      </w:r>
    </w:p>
    <w:p>
      <w:pPr>
        <w:spacing w:line="440" w:lineRule="exact"/>
        <w:ind w:firstLine="389" w:firstLineChars="177"/>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 xml:space="preserve">5. </w:t>
      </w:r>
      <w:r>
        <w:rPr>
          <w:rFonts w:hint="eastAsia" w:ascii="宋体" w:hAnsi="宋体"/>
          <w:b/>
          <w:color w:val="000000" w:themeColor="text1"/>
          <w:sz w:val="22"/>
          <w:szCs w:val="22"/>
          <w14:textFill>
            <w14:solidFill>
              <w14:schemeClr w14:val="tx1"/>
            </w14:solidFill>
          </w14:textFill>
        </w:rPr>
        <w:t>设备清单、费用支付</w:t>
      </w:r>
    </w:p>
    <w:p>
      <w:pPr>
        <w:spacing w:line="440" w:lineRule="exact"/>
        <w:ind w:firstLine="389" w:firstLineChars="177"/>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5.1设备清单</w:t>
      </w:r>
    </w:p>
    <w:tbl>
      <w:tblPr>
        <w:tblStyle w:val="30"/>
        <w:tblW w:w="899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
        <w:gridCol w:w="2751"/>
        <w:gridCol w:w="2775"/>
        <w:gridCol w:w="26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7" w:hRule="atLeast"/>
          <w:jc w:val="center"/>
        </w:trPr>
        <w:tc>
          <w:tcPr>
            <w:tcW w:w="843" w:type="dxa"/>
          </w:tcPr>
          <w:p>
            <w:pPr>
              <w:spacing w:line="440" w:lineRule="exact"/>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序号</w:t>
            </w:r>
          </w:p>
        </w:tc>
        <w:tc>
          <w:tcPr>
            <w:tcW w:w="2751" w:type="dxa"/>
            <w:vAlign w:val="center"/>
          </w:tcPr>
          <w:p>
            <w:pPr>
              <w:spacing w:line="440" w:lineRule="exact"/>
              <w:jc w:val="center"/>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型号</w:t>
            </w:r>
          </w:p>
        </w:tc>
        <w:tc>
          <w:tcPr>
            <w:tcW w:w="2775" w:type="dxa"/>
            <w:vAlign w:val="center"/>
          </w:tcPr>
          <w:p>
            <w:pPr>
              <w:spacing w:line="440" w:lineRule="exact"/>
              <w:jc w:val="center"/>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数量（台）</w:t>
            </w:r>
          </w:p>
        </w:tc>
        <w:tc>
          <w:tcPr>
            <w:tcW w:w="2623" w:type="dxa"/>
            <w:vAlign w:val="center"/>
          </w:tcPr>
          <w:p>
            <w:pPr>
              <w:spacing w:line="440" w:lineRule="exact"/>
              <w:jc w:val="center"/>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7" w:hRule="atLeast"/>
          <w:jc w:val="center"/>
        </w:trPr>
        <w:tc>
          <w:tcPr>
            <w:tcW w:w="843" w:type="dxa"/>
          </w:tcPr>
          <w:p>
            <w:pPr>
              <w:spacing w:line="440" w:lineRule="exact"/>
              <w:jc w:val="center"/>
              <w:rPr>
                <w:rFonts w:ascii="宋体" w:hAnsi="宋体"/>
                <w:color w:val="000000" w:themeColor="text1"/>
                <w:sz w:val="22"/>
                <w:szCs w:val="22"/>
                <w14:textFill>
                  <w14:solidFill>
                    <w14:schemeClr w14:val="tx1"/>
                  </w14:solidFill>
                </w14:textFill>
              </w:rPr>
            </w:pPr>
          </w:p>
        </w:tc>
        <w:tc>
          <w:tcPr>
            <w:tcW w:w="2751" w:type="dxa"/>
          </w:tcPr>
          <w:p>
            <w:pPr>
              <w:spacing w:line="440" w:lineRule="exact"/>
              <w:jc w:val="center"/>
              <w:rPr>
                <w:rFonts w:ascii="宋体" w:hAnsi="宋体"/>
                <w:color w:val="000000" w:themeColor="text1"/>
                <w:sz w:val="22"/>
                <w:szCs w:val="22"/>
                <w14:textFill>
                  <w14:solidFill>
                    <w14:schemeClr w14:val="tx1"/>
                  </w14:solidFill>
                </w14:textFill>
              </w:rPr>
            </w:pPr>
          </w:p>
        </w:tc>
        <w:tc>
          <w:tcPr>
            <w:tcW w:w="2775" w:type="dxa"/>
          </w:tcPr>
          <w:p>
            <w:pPr>
              <w:spacing w:line="440" w:lineRule="exact"/>
              <w:jc w:val="center"/>
              <w:rPr>
                <w:rFonts w:ascii="宋体" w:hAnsi="宋体"/>
                <w:color w:val="000000" w:themeColor="text1"/>
                <w:sz w:val="22"/>
                <w:szCs w:val="22"/>
                <w14:textFill>
                  <w14:solidFill>
                    <w14:schemeClr w14:val="tx1"/>
                  </w14:solidFill>
                </w14:textFill>
              </w:rPr>
            </w:pPr>
          </w:p>
        </w:tc>
        <w:tc>
          <w:tcPr>
            <w:tcW w:w="2623" w:type="dxa"/>
          </w:tcPr>
          <w:p>
            <w:pPr>
              <w:spacing w:line="440" w:lineRule="exact"/>
              <w:jc w:val="center"/>
              <w:rPr>
                <w:rFonts w:ascii="宋体" w:hAnsi="宋体"/>
                <w:color w:val="000000" w:themeColor="text1"/>
                <w:sz w:val="22"/>
                <w:szCs w:val="22"/>
                <w14:textFill>
                  <w14:solidFill>
                    <w14:schemeClr w14:val="tx1"/>
                  </w14:solidFill>
                </w14:textFill>
              </w:rPr>
            </w:pPr>
          </w:p>
        </w:tc>
      </w:tr>
    </w:tbl>
    <w:p>
      <w:pPr>
        <w:spacing w:line="440" w:lineRule="exact"/>
        <w:ind w:firstLine="389" w:firstLineChars="177"/>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5.2 付款方式</w:t>
      </w:r>
    </w:p>
    <w:p>
      <w:pPr>
        <w:numPr>
          <w:ilvl w:val="0"/>
          <w:numId w:val="36"/>
        </w:numPr>
        <w:spacing w:line="440" w:lineRule="exact"/>
        <w:rPr>
          <w:rFonts w:hint="eastAsia" w:ascii="宋体" w:hAnsi="宋体" w:cs="Times New Roman"/>
          <w:bCs/>
          <w:color w:val="auto"/>
          <w:sz w:val="22"/>
          <w:szCs w:val="22"/>
        </w:rPr>
      </w:pPr>
      <w:r>
        <w:rPr>
          <w:rFonts w:hint="eastAsia" w:ascii="宋体" w:hAnsi="宋体" w:cs="Times New Roman"/>
          <w:bCs/>
          <w:color w:val="auto"/>
          <w:sz w:val="22"/>
          <w:szCs w:val="22"/>
        </w:rPr>
        <w:t>在合同签订前乙方项甲方提交合同价款10%的履约保证金，如乙方在签约前未在规定的时间内提交履约保证金则甲方有权拒签合同；</w:t>
      </w:r>
    </w:p>
    <w:p>
      <w:pPr>
        <w:numPr>
          <w:ilvl w:val="0"/>
          <w:numId w:val="36"/>
        </w:numPr>
        <w:spacing w:line="440" w:lineRule="exact"/>
        <w:rPr>
          <w:rFonts w:hint="eastAsia" w:ascii="宋体" w:hAnsi="宋体" w:cs="Times New Roman"/>
          <w:bCs/>
          <w:color w:val="auto"/>
          <w:sz w:val="22"/>
          <w:szCs w:val="22"/>
        </w:rPr>
      </w:pPr>
      <w:r>
        <w:rPr>
          <w:rFonts w:hint="eastAsia" w:ascii="宋体" w:hAnsi="宋体" w:cs="Times New Roman"/>
          <w:bCs/>
          <w:color w:val="auto"/>
          <w:sz w:val="22"/>
          <w:szCs w:val="22"/>
        </w:rPr>
        <w:t>甲方通知乙方具体发货数量，并支付该批货物数量总价的30%预付款（乙方开具合同全额的增值税普通发票）；</w:t>
      </w:r>
    </w:p>
    <w:p>
      <w:pPr>
        <w:numPr>
          <w:ilvl w:val="0"/>
          <w:numId w:val="36"/>
        </w:numPr>
        <w:spacing w:line="440" w:lineRule="exact"/>
        <w:rPr>
          <w:rFonts w:ascii="宋体" w:hAnsi="宋体"/>
          <w:bCs/>
          <w:color w:val="auto"/>
          <w:sz w:val="22"/>
          <w:szCs w:val="22"/>
        </w:rPr>
      </w:pPr>
      <w:r>
        <w:rPr>
          <w:rFonts w:hint="eastAsia" w:ascii="宋体" w:hAnsi="宋体"/>
          <w:bCs/>
          <w:color w:val="auto"/>
          <w:sz w:val="22"/>
          <w:szCs w:val="22"/>
        </w:rPr>
        <w:t>按实际到场供货车辆设备价值支付：实际到场的车辆设备</w:t>
      </w:r>
      <w:r>
        <w:rPr>
          <w:rFonts w:hint="eastAsia" w:ascii="宋体" w:hAnsi="宋体" w:eastAsia="宋体" w:cs="宋体"/>
          <w:b/>
          <w:bCs/>
          <w:color w:val="auto"/>
          <w:kern w:val="0"/>
          <w:szCs w:val="21"/>
          <w:highlight w:val="none"/>
          <w:u w:val="single"/>
        </w:rPr>
        <w:t>经卖方协助买方完成上牌后并验收合格</w:t>
      </w:r>
      <w:r>
        <w:rPr>
          <w:rFonts w:hint="eastAsia" w:ascii="宋体" w:hAnsi="宋体"/>
          <w:bCs/>
          <w:color w:val="auto"/>
          <w:sz w:val="22"/>
          <w:szCs w:val="22"/>
        </w:rPr>
        <w:t>，经甲方确认后10个工作日内付清余款</w:t>
      </w:r>
      <w:r>
        <w:rPr>
          <w:rFonts w:hint="eastAsia" w:ascii="宋体" w:hAnsi="宋体"/>
          <w:bCs/>
          <w:color w:val="auto"/>
          <w:sz w:val="22"/>
          <w:szCs w:val="22"/>
          <w:lang w:eastAsia="zh-CN"/>
        </w:rPr>
        <w:t>；</w:t>
      </w:r>
    </w:p>
    <w:p>
      <w:pPr>
        <w:spacing w:line="440" w:lineRule="exact"/>
        <w:ind w:left="657" w:leftChars="208" w:hanging="220" w:hangingChars="100"/>
        <w:textAlignment w:val="baseline"/>
        <w:rPr>
          <w:rFonts w:ascii="宋体" w:hAnsi="宋体"/>
          <w:color w:val="auto"/>
          <w:sz w:val="22"/>
          <w:szCs w:val="22"/>
        </w:rPr>
      </w:pPr>
      <w:r>
        <w:rPr>
          <w:rFonts w:hint="eastAsia" w:ascii="宋体" w:hAnsi="宋体"/>
          <w:bCs/>
          <w:color w:val="auto"/>
          <w:sz w:val="22"/>
          <w:szCs w:val="22"/>
        </w:rPr>
        <w:t>4.乙方完成</w:t>
      </w:r>
      <w:r>
        <w:rPr>
          <w:rFonts w:hint="eastAsia" w:ascii="宋体" w:hAnsi="宋体"/>
          <w:color w:val="auto"/>
          <w:sz w:val="22"/>
          <w:szCs w:val="22"/>
        </w:rPr>
        <w:t>甲方的技术人员和操作维修人员的操作及维护保养的培训，使其能独立熟练操作上岗。</w:t>
      </w:r>
    </w:p>
    <w:p>
      <w:pPr>
        <w:spacing w:line="440" w:lineRule="exact"/>
        <w:ind w:left="657" w:leftChars="208" w:hanging="220" w:hangingChars="100"/>
        <w:textAlignment w:val="baseline"/>
        <w:rPr>
          <w:rFonts w:ascii="宋体" w:hAnsi="宋体"/>
          <w:color w:val="auto"/>
          <w:sz w:val="22"/>
          <w:szCs w:val="22"/>
        </w:rPr>
      </w:pPr>
      <w:r>
        <w:rPr>
          <w:rFonts w:hint="eastAsia" w:ascii="宋体" w:hAnsi="宋体"/>
          <w:color w:val="auto"/>
          <w:sz w:val="22"/>
          <w:szCs w:val="22"/>
        </w:rPr>
        <w:t>5.如果在质保期内，因设备质量问题造成设备停止运转，乙方应及时派技术人员前往现场进行免费修复，甲方应对修复好的设备进行再次验收。</w:t>
      </w:r>
    </w:p>
    <w:p>
      <w:pPr>
        <w:spacing w:line="440" w:lineRule="exact"/>
        <w:ind w:firstLine="389" w:firstLineChars="177"/>
        <w:rPr>
          <w:rFonts w:ascii="宋体" w:hAnsi="宋体"/>
          <w:b/>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 xml:space="preserve">6. </w:t>
      </w:r>
      <w:r>
        <w:rPr>
          <w:rFonts w:hint="eastAsia" w:ascii="宋体" w:hAnsi="宋体"/>
          <w:b/>
          <w:color w:val="000000" w:themeColor="text1"/>
          <w:sz w:val="22"/>
          <w:szCs w:val="22"/>
          <w14:textFill>
            <w14:solidFill>
              <w14:schemeClr w14:val="tx1"/>
            </w14:solidFill>
          </w14:textFill>
        </w:rPr>
        <w:t>售后服务</w:t>
      </w:r>
    </w:p>
    <w:p>
      <w:pPr>
        <w:spacing w:line="440" w:lineRule="exact"/>
        <w:ind w:firstLine="389" w:firstLineChars="177"/>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6.1乙方根据招标文件、应标时的售后服务方案进行售后服务。</w:t>
      </w:r>
    </w:p>
    <w:p>
      <w:pPr>
        <w:spacing w:line="440" w:lineRule="exact"/>
        <w:ind w:firstLine="389" w:firstLineChars="177"/>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6.2免费质保期从本项目最终验收合格、正式交付使用之日起计算。</w:t>
      </w:r>
    </w:p>
    <w:p>
      <w:pPr>
        <w:spacing w:line="440" w:lineRule="exact"/>
        <w:ind w:firstLine="389" w:firstLineChars="177"/>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6.3在设备整个保修期内，乙方应确保设备的正常使用。在接到用户维修要求后应立即作出回应，并在24小时内派员到达甲方现场实施维修。维修过程中所需零配件乙方在接到通知后最长不超过3天必须送达甲方。若短期无法修复的，应及时提供相应备用设备并负责安装调试，乙方应提供相应承诺书。</w:t>
      </w:r>
    </w:p>
    <w:p>
      <w:pPr>
        <w:spacing w:line="440" w:lineRule="exact"/>
        <w:ind w:firstLine="389" w:firstLineChars="177"/>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 xml:space="preserve">7. </w:t>
      </w:r>
      <w:r>
        <w:rPr>
          <w:rFonts w:hint="eastAsia" w:ascii="宋体" w:hAnsi="宋体"/>
          <w:b/>
          <w:color w:val="000000" w:themeColor="text1"/>
          <w:sz w:val="22"/>
          <w:szCs w:val="22"/>
          <w14:textFill>
            <w14:solidFill>
              <w14:schemeClr w14:val="tx1"/>
            </w14:solidFill>
          </w14:textFill>
        </w:rPr>
        <w:t>验收</w:t>
      </w:r>
    </w:p>
    <w:p>
      <w:pPr>
        <w:spacing w:line="440" w:lineRule="exact"/>
        <w:ind w:firstLine="389" w:firstLineChars="177"/>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7.1 验收标准</w:t>
      </w:r>
    </w:p>
    <w:p>
      <w:pPr>
        <w:spacing w:line="440" w:lineRule="exact"/>
        <w:ind w:firstLine="389" w:firstLineChars="177"/>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1）整车应符合：相关国家标准及行业的标准和要求，以及乙方在投标书所明示达到的各项技术指标要求。</w:t>
      </w:r>
    </w:p>
    <w:p>
      <w:pPr>
        <w:spacing w:line="440" w:lineRule="exact"/>
        <w:ind w:firstLine="389" w:firstLineChars="177"/>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2）甲方组织进行验收，如果车辆的质量和规格与合同不符，或在规定的质量保证期内证实车辆具有缺陷的，包括潜在缺陷或使用不符合要求的材料，有权向供货商提出索赔。</w:t>
      </w:r>
    </w:p>
    <w:p>
      <w:pPr>
        <w:spacing w:line="440" w:lineRule="exact"/>
        <w:ind w:firstLine="389" w:firstLineChars="177"/>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3）技术协议也作为验收标准的文本之一。</w:t>
      </w:r>
    </w:p>
    <w:p>
      <w:pPr>
        <w:spacing w:line="440" w:lineRule="exact"/>
        <w:ind w:firstLine="389" w:firstLineChars="177"/>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7.2 验收方法</w:t>
      </w:r>
    </w:p>
    <w:p>
      <w:pPr>
        <w:spacing w:line="440" w:lineRule="exact"/>
        <w:ind w:firstLine="389" w:firstLineChars="177"/>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1）乙方自检：安装完毕后，要求乙方自行对所有车辆进行检验，检验结果必须符合验收标准的要求。甲方</w:t>
      </w:r>
      <w:r>
        <w:rPr>
          <w:rFonts w:ascii="宋体" w:hAnsi="宋体"/>
          <w:color w:val="000000" w:themeColor="text1"/>
          <w:sz w:val="22"/>
          <w:szCs w:val="22"/>
          <w14:textFill>
            <w14:solidFill>
              <w14:schemeClr w14:val="tx1"/>
            </w14:solidFill>
          </w14:textFill>
        </w:rPr>
        <w:t>有权对</w:t>
      </w:r>
      <w:r>
        <w:rPr>
          <w:rFonts w:hint="eastAsia" w:ascii="宋体" w:hAnsi="宋体"/>
          <w:color w:val="000000" w:themeColor="text1"/>
          <w:sz w:val="22"/>
          <w:szCs w:val="22"/>
          <w14:textFill>
            <w14:solidFill>
              <w14:schemeClr w14:val="tx1"/>
            </w14:solidFill>
          </w14:textFill>
        </w:rPr>
        <w:t>车辆组装</w:t>
      </w:r>
      <w:r>
        <w:rPr>
          <w:rFonts w:ascii="宋体" w:hAnsi="宋体"/>
          <w:color w:val="000000" w:themeColor="text1"/>
          <w:sz w:val="22"/>
          <w:szCs w:val="22"/>
          <w14:textFill>
            <w14:solidFill>
              <w14:schemeClr w14:val="tx1"/>
            </w14:solidFill>
          </w14:textFill>
        </w:rPr>
        <w:t>前进行检验或测试，以确认所投产品的制造工艺、原材料、质量等是否符合</w:t>
      </w:r>
      <w:r>
        <w:rPr>
          <w:rFonts w:hint="eastAsia" w:ascii="宋体" w:hAnsi="宋体"/>
          <w:color w:val="000000" w:themeColor="text1"/>
          <w:sz w:val="22"/>
          <w:szCs w:val="22"/>
          <w14:textFill>
            <w14:solidFill>
              <w14:schemeClr w14:val="tx1"/>
            </w14:solidFill>
          </w14:textFill>
        </w:rPr>
        <w:t>招标</w:t>
      </w:r>
      <w:r>
        <w:rPr>
          <w:rFonts w:ascii="宋体" w:hAnsi="宋体"/>
          <w:color w:val="000000" w:themeColor="text1"/>
          <w:sz w:val="22"/>
          <w:szCs w:val="22"/>
          <w14:textFill>
            <w14:solidFill>
              <w14:schemeClr w14:val="tx1"/>
            </w14:solidFill>
          </w14:textFill>
        </w:rPr>
        <w:t>文件和报价时提供的样式要求，但不能作为最终验收。</w:t>
      </w:r>
      <w:r>
        <w:rPr>
          <w:rFonts w:hint="eastAsia" w:ascii="宋体" w:hAnsi="宋体"/>
          <w:color w:val="000000" w:themeColor="text1"/>
          <w:sz w:val="22"/>
          <w:szCs w:val="22"/>
          <w14:textFill>
            <w14:solidFill>
              <w14:schemeClr w14:val="tx1"/>
            </w14:solidFill>
          </w14:textFill>
        </w:rPr>
        <w:t>乙方</w:t>
      </w:r>
      <w:r>
        <w:rPr>
          <w:rFonts w:ascii="宋体" w:hAnsi="宋体"/>
          <w:color w:val="000000" w:themeColor="text1"/>
          <w:sz w:val="22"/>
          <w:szCs w:val="22"/>
          <w14:textFill>
            <w14:solidFill>
              <w14:schemeClr w14:val="tx1"/>
            </w14:solidFill>
          </w14:textFill>
        </w:rPr>
        <w:t>应为</w:t>
      </w:r>
      <w:r>
        <w:rPr>
          <w:rFonts w:hint="eastAsia" w:ascii="宋体" w:hAnsi="宋体"/>
          <w:color w:val="000000" w:themeColor="text1"/>
          <w:sz w:val="22"/>
          <w:szCs w:val="22"/>
          <w14:textFill>
            <w14:solidFill>
              <w14:schemeClr w14:val="tx1"/>
            </w14:solidFill>
          </w14:textFill>
        </w:rPr>
        <w:t>甲方</w:t>
      </w:r>
      <w:r>
        <w:rPr>
          <w:rFonts w:ascii="宋体" w:hAnsi="宋体"/>
          <w:color w:val="000000" w:themeColor="text1"/>
          <w:sz w:val="22"/>
          <w:szCs w:val="22"/>
          <w14:textFill>
            <w14:solidFill>
              <w14:schemeClr w14:val="tx1"/>
            </w14:solidFill>
          </w14:textFill>
        </w:rPr>
        <w:t>检验和测试提供各种方便，并承担相应费用，如果检验或测试的产品不能满足采购要求，</w:t>
      </w:r>
      <w:r>
        <w:rPr>
          <w:rFonts w:hint="eastAsia" w:ascii="宋体" w:hAnsi="宋体"/>
          <w:color w:val="000000" w:themeColor="text1"/>
          <w:sz w:val="22"/>
          <w:szCs w:val="22"/>
          <w14:textFill>
            <w14:solidFill>
              <w14:schemeClr w14:val="tx1"/>
            </w14:solidFill>
          </w14:textFill>
        </w:rPr>
        <w:t>甲方</w:t>
      </w:r>
      <w:r>
        <w:rPr>
          <w:rFonts w:ascii="宋体" w:hAnsi="宋体"/>
          <w:color w:val="000000" w:themeColor="text1"/>
          <w:sz w:val="22"/>
          <w:szCs w:val="22"/>
          <w14:textFill>
            <w14:solidFill>
              <w14:schemeClr w14:val="tx1"/>
            </w14:solidFill>
          </w14:textFill>
        </w:rPr>
        <w:t>可以拒绝接受，</w:t>
      </w:r>
      <w:r>
        <w:rPr>
          <w:rFonts w:hint="eastAsia" w:ascii="宋体" w:hAnsi="宋体"/>
          <w:color w:val="000000" w:themeColor="text1"/>
          <w:sz w:val="22"/>
          <w:szCs w:val="22"/>
          <w14:textFill>
            <w14:solidFill>
              <w14:schemeClr w14:val="tx1"/>
            </w14:solidFill>
          </w14:textFill>
        </w:rPr>
        <w:t>乙方</w:t>
      </w:r>
      <w:r>
        <w:rPr>
          <w:rFonts w:ascii="宋体" w:hAnsi="宋体"/>
          <w:color w:val="000000" w:themeColor="text1"/>
          <w:sz w:val="22"/>
          <w:szCs w:val="22"/>
          <w14:textFill>
            <w14:solidFill>
              <w14:schemeClr w14:val="tx1"/>
            </w14:solidFill>
          </w14:textFill>
        </w:rPr>
        <w:t>应更换被拒绝的货物，并承担给</w:t>
      </w:r>
      <w:r>
        <w:rPr>
          <w:rFonts w:hint="eastAsia" w:ascii="宋体" w:hAnsi="宋体"/>
          <w:color w:val="000000" w:themeColor="text1"/>
          <w:sz w:val="22"/>
          <w:szCs w:val="22"/>
          <w14:textFill>
            <w14:solidFill>
              <w14:schemeClr w14:val="tx1"/>
            </w14:solidFill>
          </w14:textFill>
        </w:rPr>
        <w:t>甲方</w:t>
      </w:r>
      <w:r>
        <w:rPr>
          <w:rFonts w:ascii="宋体" w:hAnsi="宋体"/>
          <w:color w:val="000000" w:themeColor="text1"/>
          <w:sz w:val="22"/>
          <w:szCs w:val="22"/>
          <w14:textFill>
            <w14:solidFill>
              <w14:schemeClr w14:val="tx1"/>
            </w14:solidFill>
          </w14:textFill>
        </w:rPr>
        <w:t>造成的经济损失。</w:t>
      </w:r>
    </w:p>
    <w:p>
      <w:pPr>
        <w:spacing w:line="440" w:lineRule="exact"/>
        <w:ind w:firstLine="389" w:firstLineChars="177"/>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2）最终验收：乙方须提供通过有关部门的验证检查所需的全部资料，甲方按招标文件、投标文件以及合同款进行验收。车辆应完全符合招标及投标要求，在此期间，如果发现车辆质量有问题，或者与投标车辆存在差异，甲方有权拒收车辆并由乙方承担全部责任及费用，乙方应无条件免费更换车辆直至验收合格。</w:t>
      </w:r>
    </w:p>
    <w:p>
      <w:pPr>
        <w:spacing w:line="440" w:lineRule="exact"/>
        <w:ind w:firstLine="389" w:firstLineChars="177"/>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8.</w:t>
      </w:r>
      <w:r>
        <w:rPr>
          <w:rFonts w:hint="eastAsia" w:ascii="宋体" w:hAnsi="宋体"/>
          <w:b/>
          <w:color w:val="000000" w:themeColor="text1"/>
          <w:sz w:val="22"/>
          <w:szCs w:val="22"/>
          <w14:textFill>
            <w14:solidFill>
              <w14:schemeClr w14:val="tx1"/>
            </w14:solidFill>
          </w14:textFill>
        </w:rPr>
        <w:t>交货</w:t>
      </w:r>
    </w:p>
    <w:p>
      <w:pPr>
        <w:spacing w:line="440" w:lineRule="exact"/>
        <w:ind w:firstLine="389" w:firstLineChars="177"/>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8.1 交货地点：甲方指定的地点。</w:t>
      </w:r>
    </w:p>
    <w:p>
      <w:pPr>
        <w:spacing w:line="440" w:lineRule="exact"/>
        <w:ind w:firstLine="389" w:firstLineChars="177"/>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8.2 交货方式：在交货地点，经甲方验收合格，乙方负责车辆正常上牌后为正式交货。</w:t>
      </w:r>
    </w:p>
    <w:p>
      <w:pPr>
        <w:spacing w:line="440" w:lineRule="exact"/>
        <w:ind w:firstLine="391" w:firstLineChars="177"/>
        <w:rPr>
          <w:rFonts w:ascii="宋体" w:hAnsi="宋体"/>
          <w:b/>
          <w:color w:val="000000" w:themeColor="text1"/>
          <w:sz w:val="22"/>
          <w:szCs w:val="22"/>
          <w14:textFill>
            <w14:solidFill>
              <w14:schemeClr w14:val="tx1"/>
            </w14:solidFill>
          </w14:textFill>
        </w:rPr>
      </w:pPr>
      <w:r>
        <w:rPr>
          <w:rFonts w:hint="eastAsia" w:ascii="宋体" w:hAnsi="宋体"/>
          <w:b/>
          <w:color w:val="000000" w:themeColor="text1"/>
          <w:sz w:val="22"/>
          <w:szCs w:val="22"/>
          <w14:textFill>
            <w14:solidFill>
              <w14:schemeClr w14:val="tx1"/>
            </w14:solidFill>
          </w14:textFill>
        </w:rPr>
        <w:t>9.违约责任</w:t>
      </w:r>
    </w:p>
    <w:p>
      <w:pPr>
        <w:spacing w:line="440" w:lineRule="exact"/>
        <w:ind w:firstLine="389" w:firstLineChars="177"/>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9.1 甲方无正当理由拒收货物、拒付货款的，由甲方向乙方偿付合同总价的5%违约金。</w:t>
      </w:r>
    </w:p>
    <w:p>
      <w:pPr>
        <w:spacing w:line="440" w:lineRule="exact"/>
        <w:ind w:firstLine="389" w:firstLineChars="177"/>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9.2 甲方应在合同规定时间内向乙方支付货款，每逾期1天甲方向乙方偿付欠款总额的5‰的违约金，累计违约金总额不超过欠款总额的5%。</w:t>
      </w:r>
    </w:p>
    <w:p>
      <w:pPr>
        <w:spacing w:line="440" w:lineRule="exact"/>
        <w:ind w:firstLine="389" w:firstLineChars="177"/>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9.3 乙方逾期交付货物的，每逾期1天，乙方向甲方偿付逾期交货部分货款总额的5‰的违约金，累计违约金不超过逾期交货部分货款总额的5%，逾期交货超过10天，甲方有权终止合同，并追究违约责任。乙方须将甲方的预付款退回和支付违约金，由此造成的损失由乙方负责，甲方保留诉讼的权利。</w:t>
      </w:r>
    </w:p>
    <w:p>
      <w:pPr>
        <w:spacing w:line="440" w:lineRule="exact"/>
        <w:ind w:firstLine="389" w:firstLineChars="177"/>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9.4 乙方所交的货物、型号、规格不符合合同规定的，甲方有权退货，要求乙方退回全部货款，并赔偿甲方因此遭受的损失。</w:t>
      </w:r>
    </w:p>
    <w:p>
      <w:pPr>
        <w:spacing w:line="440" w:lineRule="exact"/>
        <w:ind w:firstLine="389" w:firstLineChars="177"/>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9.5 乙方所供货物必须权属清楚，不得侵害他人的知识产权，否则构成对甲方违约，并承担相应的赔偿责任。乙方所提供的货物（含软件），如发生侵犯专利权的行为时，其侵权责任与甲方无关，应由乙方承担相应的责任，并不得损害甲方的利益。</w:t>
      </w:r>
    </w:p>
    <w:p>
      <w:pPr>
        <w:spacing w:line="440" w:lineRule="exact"/>
        <w:ind w:firstLine="389" w:firstLineChars="177"/>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9.6 乙方应确保本合同所有货物的途径合法。乙方如有任何违法行为均与甲方无关，由此产生的所有责任均由乙方负责。如给甲方造成（含精神）损失，甲方保留诉讼的权利。</w:t>
      </w:r>
    </w:p>
    <w:p>
      <w:pPr>
        <w:spacing w:line="440" w:lineRule="exact"/>
        <w:ind w:firstLine="389" w:firstLineChars="177"/>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9.7 必要时，甲方对乙方所提供货物(含软件)的合法性进行审核,如发现乙方所提供的货物(含软件)有违法情况存在时,甲方将拒付所有的款项，同时保留追究其相关责任的权利.</w:t>
      </w:r>
    </w:p>
    <w:p>
      <w:pPr>
        <w:spacing w:line="440" w:lineRule="exact"/>
        <w:ind w:firstLine="389" w:firstLineChars="177"/>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9.8 数量差异</w:t>
      </w:r>
    </w:p>
    <w:p>
      <w:pPr>
        <w:spacing w:line="440" w:lineRule="exact"/>
        <w:ind w:firstLine="389" w:firstLineChars="177"/>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如果发现货物数量差异，乙方应当在七日内补发缺货，如果逾期补发缺货，每逾期一日，乙方必须支付甲方预付款的5‰向甲方支付违约金。</w:t>
      </w:r>
    </w:p>
    <w:p>
      <w:pPr>
        <w:spacing w:line="440" w:lineRule="exact"/>
        <w:ind w:firstLine="389" w:firstLineChars="177"/>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9.9 质量差异</w:t>
      </w:r>
    </w:p>
    <w:p>
      <w:pPr>
        <w:spacing w:line="440" w:lineRule="exact"/>
        <w:ind w:firstLine="389" w:firstLineChars="177"/>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1）在本合同条款规定的质量保证期内发现货物有质量缺陷，甲方将以国家认定商品检验部门出具的检验报告向乙方提出书面通知，并保留索赔权利。</w:t>
      </w:r>
    </w:p>
    <w:p>
      <w:pPr>
        <w:spacing w:line="440" w:lineRule="exact"/>
        <w:ind w:firstLine="389" w:firstLineChars="177"/>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2）如果乙方在收到甲方的索赔通知后10日之内未能予以答复，索赔将被视为被乙方接受，乙方应承担由此发生的一切损失和费用。</w:t>
      </w:r>
    </w:p>
    <w:p>
      <w:pPr>
        <w:spacing w:line="440" w:lineRule="exact"/>
        <w:ind w:firstLine="389" w:firstLineChars="177"/>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10.</w:t>
      </w:r>
      <w:r>
        <w:rPr>
          <w:rFonts w:hint="eastAsia" w:ascii="宋体" w:hAnsi="宋体"/>
          <w:b/>
          <w:color w:val="000000" w:themeColor="text1"/>
          <w:sz w:val="22"/>
          <w:szCs w:val="22"/>
          <w14:textFill>
            <w14:solidFill>
              <w14:schemeClr w14:val="tx1"/>
            </w14:solidFill>
          </w14:textFill>
        </w:rPr>
        <w:t>争议解决</w:t>
      </w:r>
    </w:p>
    <w:p>
      <w:pPr>
        <w:spacing w:line="440" w:lineRule="exact"/>
        <w:ind w:firstLine="389" w:firstLineChars="177"/>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凡由本合同引起的或与解释或执行本合同有关的任何争议，双方应首先通过友好协商或调解解决。双方不能达成协议时，任何一方均有权向甲方所在地人民法院提起诉讼。</w:t>
      </w:r>
    </w:p>
    <w:p>
      <w:pPr>
        <w:spacing w:line="440" w:lineRule="exact"/>
        <w:ind w:firstLine="389" w:firstLineChars="177"/>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11．</w:t>
      </w:r>
      <w:r>
        <w:rPr>
          <w:rFonts w:hint="eastAsia" w:ascii="宋体" w:hAnsi="宋体"/>
          <w:b/>
          <w:color w:val="000000" w:themeColor="text1"/>
          <w:sz w:val="22"/>
          <w:szCs w:val="22"/>
          <w14:textFill>
            <w14:solidFill>
              <w14:schemeClr w14:val="tx1"/>
            </w14:solidFill>
          </w14:textFill>
        </w:rPr>
        <w:t>合同生效及其他</w:t>
      </w:r>
    </w:p>
    <w:p>
      <w:pPr>
        <w:spacing w:line="440" w:lineRule="exact"/>
        <w:ind w:firstLine="389" w:firstLineChars="177"/>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11.1 合同在双方签字盖章后开始生效。</w:t>
      </w:r>
    </w:p>
    <w:p>
      <w:pPr>
        <w:spacing w:line="440" w:lineRule="exact"/>
        <w:ind w:firstLine="389" w:firstLineChars="177"/>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11.2 本合同一式四份，双方各执两份，具有同等法律效力。</w:t>
      </w:r>
    </w:p>
    <w:p>
      <w:pPr>
        <w:spacing w:line="440" w:lineRule="exact"/>
        <w:ind w:firstLine="389" w:firstLineChars="177"/>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11.3 如需修改或补充合同内容，经协商，双方应签署书面修改或补充协议，该协议将作为本合同的一个组成部分。</w:t>
      </w:r>
    </w:p>
    <w:p>
      <w:pPr>
        <w:tabs>
          <w:tab w:val="left" w:pos="840"/>
        </w:tabs>
        <w:spacing w:beforeLines="100" w:line="360" w:lineRule="exact"/>
        <w:ind w:firstLine="454"/>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甲方（公章）：                  乙方（公章）：</w:t>
      </w:r>
    </w:p>
    <w:p>
      <w:pPr>
        <w:tabs>
          <w:tab w:val="left" w:pos="840"/>
        </w:tabs>
        <w:spacing w:line="360" w:lineRule="exact"/>
        <w:ind w:firstLine="454"/>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法定代表人或受委托人（签字或盖章）：            法定代表人或受委托人（签字或盖章）：</w:t>
      </w:r>
    </w:p>
    <w:p>
      <w:pPr>
        <w:tabs>
          <w:tab w:val="left" w:pos="840"/>
        </w:tabs>
        <w:spacing w:line="360" w:lineRule="exact"/>
        <w:ind w:firstLine="454"/>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 xml:space="preserve">地址：                                         地址： </w:t>
      </w:r>
    </w:p>
    <w:p>
      <w:pPr>
        <w:tabs>
          <w:tab w:val="left" w:pos="840"/>
        </w:tabs>
        <w:spacing w:line="360" w:lineRule="exact"/>
        <w:ind w:firstLine="454"/>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 xml:space="preserve">电话：                            电话：                                     </w:t>
      </w:r>
    </w:p>
    <w:p>
      <w:pPr>
        <w:spacing w:line="460" w:lineRule="exact"/>
        <w:jc w:val="center"/>
        <w:rPr>
          <w:rFonts w:ascii="宋体" w:hAnsi="宋体" w:cs="Arial"/>
          <w:color w:val="000000" w:themeColor="text1"/>
          <w:sz w:val="36"/>
          <w:szCs w:val="36"/>
          <w14:textFill>
            <w14:solidFill>
              <w14:schemeClr w14:val="tx1"/>
            </w14:solidFill>
          </w14:textFill>
        </w:rPr>
      </w:pPr>
      <w:r>
        <w:rPr>
          <w:rFonts w:ascii="宋体" w:hAnsi="宋体" w:cs="Arial"/>
          <w:color w:val="000000" w:themeColor="text1"/>
          <w:szCs w:val="21"/>
          <w14:textFill>
            <w14:solidFill>
              <w14:schemeClr w14:val="tx1"/>
            </w14:solidFill>
          </w14:textFill>
        </w:rPr>
        <w:br w:type="page"/>
      </w:r>
      <w:bookmarkStart w:id="159" w:name="_Toc382360963"/>
      <w:r>
        <w:rPr>
          <w:rFonts w:hint="eastAsia" w:ascii="宋体" w:hAnsi="宋体" w:cs="Arial"/>
          <w:color w:val="000000" w:themeColor="text1"/>
          <w:sz w:val="36"/>
          <w:szCs w:val="36"/>
          <w14:textFill>
            <w14:solidFill>
              <w14:schemeClr w14:val="tx1"/>
            </w14:solidFill>
          </w14:textFill>
        </w:rPr>
        <w:t>第三部分   附件</w:t>
      </w:r>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p>
    <w:p>
      <w:pPr>
        <w:spacing w:line="460" w:lineRule="exact"/>
        <w:rPr>
          <w:rFonts w:ascii="宋体" w:hAnsi="宋体"/>
          <w:b/>
          <w:bCs/>
          <w:color w:val="000000" w:themeColor="text1"/>
          <w:sz w:val="22"/>
          <w:szCs w:val="22"/>
          <w14:textFill>
            <w14:solidFill>
              <w14:schemeClr w14:val="tx1"/>
            </w14:solidFill>
          </w14:textFill>
        </w:rPr>
      </w:pPr>
    </w:p>
    <w:p>
      <w:pPr>
        <w:spacing w:line="460" w:lineRule="exact"/>
        <w:rPr>
          <w:rFonts w:ascii="宋体" w:hAnsi="宋体"/>
          <w:b/>
          <w:bCs/>
          <w:color w:val="000000" w:themeColor="text1"/>
          <w:sz w:val="22"/>
          <w:szCs w:val="22"/>
          <w14:textFill>
            <w14:solidFill>
              <w14:schemeClr w14:val="tx1"/>
            </w14:solidFill>
          </w14:textFill>
        </w:rPr>
      </w:pPr>
      <w:r>
        <w:rPr>
          <w:rFonts w:hint="eastAsia" w:ascii="宋体" w:hAnsi="宋体"/>
          <w:b/>
          <w:bCs/>
          <w:color w:val="000000" w:themeColor="text1"/>
          <w:sz w:val="22"/>
          <w:szCs w:val="22"/>
          <w14:textFill>
            <w14:solidFill>
              <w14:schemeClr w14:val="tx1"/>
            </w14:solidFill>
          </w14:textFill>
        </w:rPr>
        <w:t>附件一</w:t>
      </w:r>
    </w:p>
    <w:p>
      <w:pPr>
        <w:spacing w:line="460" w:lineRule="exact"/>
        <w:jc w:val="center"/>
        <w:rPr>
          <w:rFonts w:ascii="宋体" w:hAnsi="宋体"/>
          <w:b/>
          <w:bCs/>
          <w:color w:val="000000" w:themeColor="text1"/>
          <w:sz w:val="28"/>
          <w:szCs w:val="28"/>
          <w14:textFill>
            <w14:solidFill>
              <w14:schemeClr w14:val="tx1"/>
            </w14:solidFill>
          </w14:textFill>
        </w:rPr>
      </w:pPr>
      <w:r>
        <w:rPr>
          <w:rFonts w:hint="eastAsia" w:ascii="宋体" w:hAnsi="宋体"/>
          <w:b/>
          <w:bCs/>
          <w:color w:val="000000" w:themeColor="text1"/>
          <w:sz w:val="28"/>
          <w:szCs w:val="28"/>
          <w14:textFill>
            <w14:solidFill>
              <w14:schemeClr w14:val="tx1"/>
            </w14:solidFill>
          </w14:textFill>
        </w:rPr>
        <w:t>投 标 函</w:t>
      </w:r>
    </w:p>
    <w:p>
      <w:pPr>
        <w:spacing w:line="420" w:lineRule="exact"/>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lang w:eastAsia="zh-CN"/>
          <w14:textFill>
            <w14:solidFill>
              <w14:schemeClr w14:val="tx1"/>
            </w14:solidFill>
          </w14:textFill>
        </w:rPr>
        <w:t>温州金丽温高速公路东延线有限公司</w:t>
      </w:r>
      <w:r>
        <w:rPr>
          <w:rFonts w:hint="eastAsia" w:ascii="宋体" w:hAnsi="宋体"/>
          <w:color w:val="000000" w:themeColor="text1"/>
          <w:sz w:val="22"/>
          <w:szCs w:val="22"/>
          <w14:textFill>
            <w14:solidFill>
              <w14:schemeClr w14:val="tx1"/>
            </w14:solidFill>
          </w14:textFill>
        </w:rPr>
        <w:t>：</w:t>
      </w:r>
    </w:p>
    <w:p>
      <w:pPr>
        <w:spacing w:line="420" w:lineRule="exact"/>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浙江鸿银项目管理有限公司：</w:t>
      </w:r>
    </w:p>
    <w:p>
      <w:pPr>
        <w:spacing w:line="420" w:lineRule="exact"/>
        <w:ind w:firstLine="440" w:firstLineChars="200"/>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根据贵方为项目（招标编号）的投标邀请，我方</w:t>
      </w:r>
      <w:r>
        <w:rPr>
          <w:rFonts w:hint="eastAsia" w:ascii="宋体" w:hAnsi="宋体"/>
          <w:color w:val="000000" w:themeColor="text1"/>
          <w:sz w:val="22"/>
          <w:szCs w:val="22"/>
          <w:u w:val="single"/>
          <w14:textFill>
            <w14:solidFill>
              <w14:schemeClr w14:val="tx1"/>
            </w14:solidFill>
          </w14:textFill>
        </w:rPr>
        <w:t xml:space="preserve">           　　</w:t>
      </w:r>
      <w:r>
        <w:rPr>
          <w:rFonts w:hint="eastAsia" w:ascii="宋体" w:hAnsi="宋体"/>
          <w:color w:val="000000" w:themeColor="text1"/>
          <w:sz w:val="22"/>
          <w:szCs w:val="22"/>
          <w14:textFill>
            <w14:solidFill>
              <w14:schemeClr w14:val="tx1"/>
            </w14:solidFill>
          </w14:textFill>
        </w:rPr>
        <w:t>（投标人名称）作为投标人正式授权</w:t>
      </w:r>
      <w:r>
        <w:rPr>
          <w:rFonts w:hint="eastAsia" w:ascii="宋体" w:hAnsi="宋体"/>
          <w:color w:val="000000" w:themeColor="text1"/>
          <w:sz w:val="22"/>
          <w:szCs w:val="22"/>
          <w:u w:val="single"/>
          <w14:textFill>
            <w14:solidFill>
              <w14:schemeClr w14:val="tx1"/>
            </w14:solidFill>
          </w14:textFill>
        </w:rPr>
        <w:t xml:space="preserve">　           </w:t>
      </w:r>
      <w:r>
        <w:rPr>
          <w:rFonts w:hint="eastAsia" w:ascii="宋体" w:hAnsi="宋体"/>
          <w:color w:val="000000" w:themeColor="text1"/>
          <w:sz w:val="22"/>
          <w:szCs w:val="22"/>
          <w14:textFill>
            <w14:solidFill>
              <w14:schemeClr w14:val="tx1"/>
            </w14:solidFill>
          </w14:textFill>
        </w:rPr>
        <w:t>（授权代表全名，职务）代表我方处理有关本投标的一切事宜。</w:t>
      </w:r>
    </w:p>
    <w:p>
      <w:pPr>
        <w:pStyle w:val="11"/>
        <w:spacing w:line="420" w:lineRule="exact"/>
        <w:ind w:firstLine="440"/>
        <w:rPr>
          <w:rFonts w:ascii="宋体" w:hAnsi="宋体"/>
          <w:color w:val="000000" w:themeColor="text1"/>
          <w:sz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在此提交的投标文件中，包括如下内</w:t>
      </w:r>
      <w:r>
        <w:rPr>
          <w:rFonts w:hint="eastAsia" w:ascii="宋体" w:hAnsi="宋体"/>
          <w:color w:val="000000" w:themeColor="text1"/>
          <w:sz w:val="22"/>
          <w14:textFill>
            <w14:solidFill>
              <w14:schemeClr w14:val="tx1"/>
            </w14:solidFill>
          </w14:textFill>
        </w:rPr>
        <w:t>容，并已分别单独密封装袋：</w:t>
      </w:r>
    </w:p>
    <w:p>
      <w:pPr>
        <w:spacing w:line="420" w:lineRule="exact"/>
        <w:ind w:firstLine="330" w:firstLineChars="150"/>
        <w:rPr>
          <w:rFonts w:ascii="宋体" w:hAnsi="宋体"/>
          <w:color w:val="000000" w:themeColor="text1"/>
          <w:sz w:val="22"/>
          <w14:textFill>
            <w14:solidFill>
              <w14:schemeClr w14:val="tx1"/>
            </w14:solidFill>
          </w14:textFill>
        </w:rPr>
      </w:pPr>
      <w:r>
        <w:rPr>
          <w:rFonts w:hint="eastAsia" w:ascii="宋体" w:hAnsi="宋体"/>
          <w:color w:val="000000" w:themeColor="text1"/>
          <w:sz w:val="22"/>
          <w14:textFill>
            <w14:solidFill>
              <w14:schemeClr w14:val="tx1"/>
            </w14:solidFill>
          </w14:textFill>
        </w:rPr>
        <w:t>（—）按“投标人须知”要求编制的投标文件技术资信标【正本一份，副本五份】；</w:t>
      </w:r>
    </w:p>
    <w:p>
      <w:pPr>
        <w:spacing w:line="420" w:lineRule="exact"/>
        <w:ind w:firstLine="330" w:firstLineChars="150"/>
        <w:rPr>
          <w:rFonts w:ascii="宋体" w:hAnsi="宋体"/>
          <w:color w:val="000000" w:themeColor="text1"/>
          <w:sz w:val="22"/>
          <w14:textFill>
            <w14:solidFill>
              <w14:schemeClr w14:val="tx1"/>
            </w14:solidFill>
          </w14:textFill>
        </w:rPr>
      </w:pPr>
      <w:r>
        <w:rPr>
          <w:rFonts w:hint="eastAsia" w:ascii="宋体" w:hAnsi="宋体"/>
          <w:color w:val="000000" w:themeColor="text1"/>
          <w:sz w:val="22"/>
          <w14:textFill>
            <w14:solidFill>
              <w14:schemeClr w14:val="tx1"/>
            </w14:solidFill>
          </w14:textFill>
        </w:rPr>
        <w:t>（二）按“投标人须知”要求编制的投标文件商务标【正本一份，副本五份】</w:t>
      </w:r>
    </w:p>
    <w:p>
      <w:pPr>
        <w:spacing w:line="420" w:lineRule="exact"/>
        <w:ind w:firstLine="440" w:firstLineChars="200"/>
        <w:rPr>
          <w:rFonts w:ascii="宋体" w:hAnsi="宋体"/>
          <w:color w:val="000000" w:themeColor="text1"/>
          <w:sz w:val="22"/>
          <w14:textFill>
            <w14:solidFill>
              <w14:schemeClr w14:val="tx1"/>
            </w14:solidFill>
          </w14:textFill>
        </w:rPr>
      </w:pPr>
      <w:r>
        <w:rPr>
          <w:rFonts w:hint="eastAsia" w:ascii="宋体" w:hAnsi="宋体"/>
          <w:color w:val="000000" w:themeColor="text1"/>
          <w:sz w:val="22"/>
          <w14:textFill>
            <w14:solidFill>
              <w14:schemeClr w14:val="tx1"/>
            </w14:solidFill>
          </w14:textFill>
        </w:rPr>
        <w:t>我方己完全明白招标文件的所有条款要求，并重申以下几点：</w:t>
      </w:r>
    </w:p>
    <w:p>
      <w:pPr>
        <w:spacing w:line="420" w:lineRule="exact"/>
        <w:ind w:left="1019" w:leftChars="171" w:hanging="660" w:hangingChars="300"/>
        <w:rPr>
          <w:rFonts w:ascii="宋体" w:hAnsi="宋体"/>
          <w:color w:val="000000" w:themeColor="text1"/>
          <w:sz w:val="22"/>
          <w14:textFill>
            <w14:solidFill>
              <w14:schemeClr w14:val="tx1"/>
            </w14:solidFill>
          </w14:textFill>
        </w:rPr>
      </w:pPr>
      <w:r>
        <w:rPr>
          <w:rFonts w:hint="eastAsia" w:ascii="宋体" w:hAnsi="宋体"/>
          <w:color w:val="000000" w:themeColor="text1"/>
          <w:sz w:val="22"/>
          <w14:textFill>
            <w14:solidFill>
              <w14:schemeClr w14:val="tx1"/>
            </w14:solidFill>
          </w14:textFill>
        </w:rPr>
        <w:t>（一）本投标文件的有效期自投标截止日起</w:t>
      </w:r>
      <w:r>
        <w:rPr>
          <w:rFonts w:hint="eastAsia" w:ascii="宋体" w:hAnsi="宋体"/>
          <w:b/>
          <w:color w:val="000000" w:themeColor="text1"/>
          <w:sz w:val="22"/>
          <w:u w:val="single"/>
          <w14:textFill>
            <w14:solidFill>
              <w14:schemeClr w14:val="tx1"/>
            </w14:solidFill>
          </w14:textFill>
        </w:rPr>
        <w:t xml:space="preserve"> 90 </w:t>
      </w:r>
      <w:r>
        <w:rPr>
          <w:rFonts w:hint="eastAsia" w:ascii="宋体" w:hAnsi="宋体"/>
          <w:b/>
          <w:color w:val="000000" w:themeColor="text1"/>
          <w:sz w:val="22"/>
          <w14:textFill>
            <w14:solidFill>
              <w14:schemeClr w14:val="tx1"/>
            </w14:solidFill>
          </w14:textFill>
        </w:rPr>
        <w:t>天内</w:t>
      </w:r>
      <w:r>
        <w:rPr>
          <w:rFonts w:hint="eastAsia" w:ascii="宋体" w:hAnsi="宋体"/>
          <w:color w:val="000000" w:themeColor="text1"/>
          <w:sz w:val="22"/>
          <w14:textFill>
            <w14:solidFill>
              <w14:schemeClr w14:val="tx1"/>
            </w14:solidFill>
          </w14:textFill>
        </w:rPr>
        <w:t>有效，如中标，有效期将延至合同终止日为止；</w:t>
      </w:r>
    </w:p>
    <w:p>
      <w:pPr>
        <w:spacing w:line="420" w:lineRule="exact"/>
        <w:ind w:left="1019" w:leftChars="171" w:hanging="660" w:hangingChars="300"/>
        <w:rPr>
          <w:rFonts w:ascii="宋体" w:hAnsi="宋体"/>
          <w:color w:val="000000" w:themeColor="text1"/>
          <w:sz w:val="22"/>
          <w14:textFill>
            <w14:solidFill>
              <w14:schemeClr w14:val="tx1"/>
            </w14:solidFill>
          </w14:textFill>
        </w:rPr>
      </w:pPr>
      <w:r>
        <w:rPr>
          <w:rFonts w:hint="eastAsia" w:ascii="宋体" w:hAnsi="宋体"/>
          <w:color w:val="000000" w:themeColor="text1"/>
          <w:sz w:val="22"/>
          <w14:textFill>
            <w14:solidFill>
              <w14:schemeClr w14:val="tx1"/>
            </w14:solidFill>
          </w14:textFill>
        </w:rPr>
        <w:t>（二）我方已详细研究了招标文件的所有内容包括修改书（如有）和所有已提供的参考资料以及有关附件，我方完全理解并同意放弃在此方面提出含糊意见或误解的一切权力；</w:t>
      </w:r>
    </w:p>
    <w:p>
      <w:pPr>
        <w:spacing w:line="420" w:lineRule="exact"/>
        <w:ind w:left="1019" w:leftChars="171" w:hanging="660" w:hangingChars="300"/>
        <w:rPr>
          <w:rFonts w:ascii="宋体" w:hAnsi="宋体"/>
          <w:color w:val="000000" w:themeColor="text1"/>
          <w:sz w:val="22"/>
          <w14:textFill>
            <w14:solidFill>
              <w14:schemeClr w14:val="tx1"/>
            </w14:solidFill>
          </w14:textFill>
        </w:rPr>
      </w:pPr>
      <w:r>
        <w:rPr>
          <w:rFonts w:hint="eastAsia" w:ascii="宋体" w:hAnsi="宋体"/>
          <w:color w:val="000000" w:themeColor="text1"/>
          <w:sz w:val="22"/>
          <w14:textFill>
            <w14:solidFill>
              <w14:schemeClr w14:val="tx1"/>
            </w14:solidFill>
          </w14:textFill>
        </w:rPr>
        <w:t>（三）我方明白并愿意在规定的开标时间之后，投标人在投标有效期内撤回投标，其投标保证金将被贵方没收；</w:t>
      </w:r>
    </w:p>
    <w:p>
      <w:pPr>
        <w:spacing w:line="420" w:lineRule="exact"/>
        <w:ind w:left="359" w:leftChars="171"/>
        <w:rPr>
          <w:rFonts w:ascii="宋体" w:hAnsi="宋体"/>
          <w:color w:val="000000" w:themeColor="text1"/>
          <w:sz w:val="22"/>
          <w14:textFill>
            <w14:solidFill>
              <w14:schemeClr w14:val="tx1"/>
            </w14:solidFill>
          </w14:textFill>
        </w:rPr>
      </w:pPr>
      <w:r>
        <w:rPr>
          <w:rFonts w:hint="eastAsia" w:ascii="宋体" w:hAnsi="宋体"/>
          <w:color w:val="000000" w:themeColor="text1"/>
          <w:sz w:val="22"/>
          <w14:textFill>
            <w14:solidFill>
              <w14:schemeClr w14:val="tx1"/>
            </w14:solidFill>
          </w14:textFill>
        </w:rPr>
        <w:t>（四）我方同意提供按照贵方可能要求的与投标有关的一切数据或资料；</w:t>
      </w:r>
    </w:p>
    <w:p>
      <w:pPr>
        <w:spacing w:line="420" w:lineRule="exact"/>
        <w:ind w:left="359" w:leftChars="171"/>
        <w:rPr>
          <w:rFonts w:ascii="宋体" w:hAnsi="宋体"/>
          <w:color w:val="000000" w:themeColor="text1"/>
          <w:sz w:val="22"/>
          <w14:textFill>
            <w14:solidFill>
              <w14:schemeClr w14:val="tx1"/>
            </w14:solidFill>
          </w14:textFill>
        </w:rPr>
      </w:pPr>
      <w:r>
        <w:rPr>
          <w:rFonts w:hint="eastAsia" w:ascii="宋体" w:hAnsi="宋体"/>
          <w:color w:val="000000" w:themeColor="text1"/>
          <w:sz w:val="22"/>
          <w14:textFill>
            <w14:solidFill>
              <w14:schemeClr w14:val="tx1"/>
            </w14:solidFill>
          </w14:textFill>
        </w:rPr>
        <w:t>（五）我方理解贵方不一定接受最低报价。</w:t>
      </w:r>
    </w:p>
    <w:p>
      <w:pPr>
        <w:spacing w:line="420" w:lineRule="exact"/>
        <w:ind w:left="1019" w:leftChars="171" w:hanging="660" w:hangingChars="300"/>
        <w:rPr>
          <w:rFonts w:ascii="宋体" w:hAnsi="宋体"/>
          <w:color w:val="000000" w:themeColor="text1"/>
          <w:sz w:val="22"/>
          <w14:textFill>
            <w14:solidFill>
              <w14:schemeClr w14:val="tx1"/>
            </w14:solidFill>
          </w14:textFill>
        </w:rPr>
      </w:pPr>
      <w:r>
        <w:rPr>
          <w:rFonts w:hint="eastAsia" w:ascii="宋体" w:hAnsi="宋体"/>
          <w:color w:val="000000" w:themeColor="text1"/>
          <w:sz w:val="22"/>
          <w14:textFill>
            <w14:solidFill>
              <w14:schemeClr w14:val="tx1"/>
            </w14:solidFill>
          </w14:textFill>
        </w:rPr>
        <w:t>（六）我方如果中标，将保证履行招标文件以及招标文件修改书（如有）中的全部责任和义务，按质、按量、按期完成《合同书》中的全部任务。</w:t>
      </w:r>
    </w:p>
    <w:p>
      <w:pPr>
        <w:spacing w:line="420" w:lineRule="exact"/>
        <w:ind w:left="315"/>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14:textFill>
            <w14:solidFill>
              <w14:schemeClr w14:val="tx1"/>
            </w14:solidFill>
          </w14:textFill>
        </w:rPr>
        <w:t>（七）所有与本投标有关的函件请发往下列地址：</w:t>
      </w:r>
    </w:p>
    <w:p>
      <w:pPr>
        <w:spacing w:line="420" w:lineRule="exact"/>
        <w:ind w:firstLine="435"/>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 xml:space="preserve">   地址</w:t>
      </w:r>
    </w:p>
    <w:p>
      <w:pPr>
        <w:spacing w:line="420" w:lineRule="exact"/>
        <w:ind w:firstLine="435"/>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 xml:space="preserve">   电话</w:t>
      </w:r>
    </w:p>
    <w:p>
      <w:pPr>
        <w:spacing w:line="420" w:lineRule="exact"/>
        <w:ind w:firstLine="435"/>
        <w:rPr>
          <w:rFonts w:ascii="宋体" w:hAnsi="宋体"/>
          <w:color w:val="000000" w:themeColor="text1"/>
          <w:sz w:val="22"/>
          <w:szCs w:val="22"/>
          <w:u w:val="single"/>
          <w14:textFill>
            <w14:solidFill>
              <w14:schemeClr w14:val="tx1"/>
            </w14:solidFill>
          </w14:textFill>
        </w:rPr>
      </w:pPr>
      <w:r>
        <w:rPr>
          <w:rFonts w:hint="eastAsia" w:ascii="宋体" w:hAnsi="宋体"/>
          <w:color w:val="000000" w:themeColor="text1"/>
          <w:sz w:val="22"/>
          <w:szCs w:val="22"/>
          <w14:textFill>
            <w14:solidFill>
              <w14:schemeClr w14:val="tx1"/>
            </w14:solidFill>
          </w14:textFill>
        </w:rPr>
        <w:t xml:space="preserve">   传真</w:t>
      </w:r>
    </w:p>
    <w:p>
      <w:pPr>
        <w:spacing w:line="420" w:lineRule="exact"/>
        <w:ind w:firstLine="770" w:firstLineChars="350"/>
        <w:rPr>
          <w:rFonts w:ascii="宋体" w:hAnsi="宋体"/>
          <w:color w:val="000000" w:themeColor="text1"/>
          <w:sz w:val="22"/>
          <w:szCs w:val="22"/>
          <w:u w:val="single"/>
          <w14:textFill>
            <w14:solidFill>
              <w14:schemeClr w14:val="tx1"/>
            </w14:solidFill>
          </w14:textFill>
        </w:rPr>
      </w:pPr>
      <w:r>
        <w:rPr>
          <w:rFonts w:hint="eastAsia" w:ascii="宋体" w:hAnsi="宋体"/>
          <w:color w:val="000000" w:themeColor="text1"/>
          <w:sz w:val="22"/>
          <w:szCs w:val="22"/>
          <w14:textFill>
            <w14:solidFill>
              <w14:schemeClr w14:val="tx1"/>
            </w14:solidFill>
          </w14:textFill>
        </w:rPr>
        <w:t>电子邮件</w:t>
      </w:r>
    </w:p>
    <w:p>
      <w:pPr>
        <w:spacing w:line="420" w:lineRule="exact"/>
        <w:ind w:firstLine="435"/>
        <w:rPr>
          <w:rFonts w:ascii="宋体" w:hAnsi="宋体"/>
          <w:color w:val="000000" w:themeColor="text1"/>
          <w:sz w:val="22"/>
          <w:szCs w:val="22"/>
          <w14:textFill>
            <w14:solidFill>
              <w14:schemeClr w14:val="tx1"/>
            </w14:solidFill>
          </w14:textFill>
        </w:rPr>
      </w:pPr>
    </w:p>
    <w:p>
      <w:pPr>
        <w:spacing w:line="420" w:lineRule="exact"/>
        <w:ind w:firstLine="435"/>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 xml:space="preserve">                                   投标人名称（盖章）</w:t>
      </w:r>
    </w:p>
    <w:p>
      <w:pPr>
        <w:spacing w:line="420" w:lineRule="exact"/>
        <w:ind w:firstLine="435"/>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 xml:space="preserve">                                   投标人代表（签字）</w:t>
      </w:r>
    </w:p>
    <w:p>
      <w:pPr>
        <w:spacing w:line="460" w:lineRule="exact"/>
        <w:ind w:firstLine="435"/>
        <w:rPr>
          <w:rFonts w:ascii="宋体" w:hAnsi="宋体"/>
          <w:color w:val="000000" w:themeColor="text1"/>
          <w:sz w:val="22"/>
          <w:szCs w:val="22"/>
          <w:u w:val="single"/>
          <w14:textFill>
            <w14:solidFill>
              <w14:schemeClr w14:val="tx1"/>
            </w14:solidFill>
          </w14:textFill>
        </w:rPr>
        <w:sectPr>
          <w:footerReference r:id="rId5" w:type="first"/>
          <w:footerReference r:id="rId4" w:type="default"/>
          <w:pgSz w:w="11906" w:h="16838"/>
          <w:pgMar w:top="1134" w:right="1134" w:bottom="1134" w:left="1134" w:header="851" w:footer="851" w:gutter="0"/>
          <w:pgBorders>
            <w:top w:val="none" w:sz="0" w:space="0"/>
            <w:left w:val="none" w:sz="0" w:space="0"/>
            <w:bottom w:val="none" w:sz="0" w:space="0"/>
            <w:right w:val="none" w:sz="0" w:space="0"/>
          </w:pgBorders>
          <w:pgNumType w:start="1"/>
          <w:cols w:space="720" w:num="1"/>
          <w:titlePg/>
          <w:docGrid w:linePitch="312" w:charSpace="0"/>
        </w:sectPr>
      </w:pPr>
      <w:r>
        <w:rPr>
          <w:rFonts w:hint="eastAsia" w:ascii="宋体" w:hAnsi="宋体"/>
          <w:color w:val="000000" w:themeColor="text1"/>
          <w:sz w:val="22"/>
          <w:szCs w:val="22"/>
          <w14:textFill>
            <w14:solidFill>
              <w14:schemeClr w14:val="tx1"/>
            </w14:solidFill>
          </w14:textFill>
        </w:rPr>
        <w:t xml:space="preserve">                                   日    期</w:t>
      </w:r>
    </w:p>
    <w:p>
      <w:pPr>
        <w:spacing w:line="380" w:lineRule="exact"/>
        <w:rPr>
          <w:rFonts w:ascii="宋体" w:hAnsi="宋体"/>
          <w:b/>
          <w:bCs/>
          <w:color w:val="000000" w:themeColor="text1"/>
          <w:sz w:val="22"/>
          <w:szCs w:val="22"/>
          <w14:textFill>
            <w14:solidFill>
              <w14:schemeClr w14:val="tx1"/>
            </w14:solidFill>
          </w14:textFill>
        </w:rPr>
      </w:pPr>
      <w:r>
        <w:rPr>
          <w:rFonts w:hint="eastAsia" w:ascii="宋体" w:hAnsi="宋体"/>
          <w:b/>
          <w:bCs/>
          <w:color w:val="000000" w:themeColor="text1"/>
          <w:sz w:val="22"/>
          <w:szCs w:val="22"/>
          <w14:textFill>
            <w14:solidFill>
              <w14:schemeClr w14:val="tx1"/>
            </w14:solidFill>
          </w14:textFill>
        </w:rPr>
        <w:t xml:space="preserve">附件二 </w:t>
      </w:r>
    </w:p>
    <w:p>
      <w:pPr>
        <w:spacing w:line="460" w:lineRule="exact"/>
        <w:jc w:val="center"/>
        <w:rPr>
          <w:rFonts w:ascii="宋体" w:hAnsi="宋体"/>
          <w:b/>
          <w:bCs/>
          <w:color w:val="000000" w:themeColor="text1"/>
          <w:sz w:val="28"/>
          <w:szCs w:val="28"/>
          <w14:textFill>
            <w14:solidFill>
              <w14:schemeClr w14:val="tx1"/>
            </w14:solidFill>
          </w14:textFill>
        </w:rPr>
      </w:pPr>
      <w:r>
        <w:rPr>
          <w:rFonts w:hint="eastAsia" w:ascii="宋体" w:hAnsi="宋体"/>
          <w:b/>
          <w:bCs/>
          <w:color w:val="000000" w:themeColor="text1"/>
          <w:sz w:val="28"/>
          <w:szCs w:val="28"/>
          <w14:textFill>
            <w14:solidFill>
              <w14:schemeClr w14:val="tx1"/>
            </w14:solidFill>
          </w14:textFill>
        </w:rPr>
        <w:t>投标报价一览表</w:t>
      </w:r>
    </w:p>
    <w:p>
      <w:pPr>
        <w:spacing w:line="380" w:lineRule="exact"/>
        <w:jc w:val="center"/>
        <w:rPr>
          <w:rFonts w:ascii="宋体" w:hAnsi="宋体"/>
          <w:b/>
          <w:bCs/>
          <w:color w:val="000000" w:themeColor="text1"/>
          <w:sz w:val="28"/>
          <w14:textFill>
            <w14:solidFill>
              <w14:schemeClr w14:val="tx1"/>
            </w14:solidFill>
          </w14:textFill>
        </w:rPr>
      </w:pPr>
    </w:p>
    <w:p>
      <w:pPr>
        <w:spacing w:line="380" w:lineRule="exact"/>
        <w:ind w:right="349" w:rightChars="166"/>
        <w:rPr>
          <w:rFonts w:ascii="宋体" w:hAnsi="宋体"/>
          <w:b/>
          <w:color w:val="C00000"/>
          <w:sz w:val="22"/>
        </w:rPr>
      </w:pPr>
      <w:r>
        <w:rPr>
          <w:rFonts w:hint="eastAsia" w:ascii="宋体" w:hAnsi="宋体" w:cs="宋体"/>
          <w:b/>
          <w:bCs/>
          <w:color w:val="auto"/>
          <w:sz w:val="22"/>
          <w:szCs w:val="22"/>
        </w:rPr>
        <w:t>项目名称：                                             项目编号：</w:t>
      </w:r>
      <w:r>
        <w:rPr>
          <w:rFonts w:hint="eastAsia" w:ascii="宋体" w:hAnsi="宋体"/>
          <w:b/>
          <w:color w:val="C00000"/>
          <w:sz w:val="22"/>
        </w:rPr>
        <w:t xml:space="preserve">   </w:t>
      </w:r>
    </w:p>
    <w:tbl>
      <w:tblPr>
        <w:tblStyle w:val="30"/>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79"/>
        <w:gridCol w:w="5051"/>
        <w:gridCol w:w="20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2779" w:type="dxa"/>
            <w:vAlign w:val="center"/>
          </w:tcPr>
          <w:p>
            <w:pPr>
              <w:spacing w:line="380" w:lineRule="exact"/>
              <w:jc w:val="center"/>
              <w:rPr>
                <w:rFonts w:ascii="宋体" w:hAnsi="宋体" w:cs="宋体"/>
                <w:bCs/>
                <w:color w:val="000000" w:themeColor="text1"/>
                <w:sz w:val="22"/>
                <w:szCs w:val="22"/>
                <w14:textFill>
                  <w14:solidFill>
                    <w14:schemeClr w14:val="tx1"/>
                  </w14:solidFill>
                </w14:textFill>
              </w:rPr>
            </w:pPr>
            <w:r>
              <w:rPr>
                <w:rFonts w:hint="eastAsia" w:ascii="宋体" w:hAnsi="宋体" w:cs="宋体"/>
                <w:bCs/>
                <w:color w:val="000000" w:themeColor="text1"/>
                <w:sz w:val="22"/>
                <w:szCs w:val="22"/>
                <w14:textFill>
                  <w14:solidFill>
                    <w14:schemeClr w14:val="tx1"/>
                  </w14:solidFill>
                </w14:textFill>
              </w:rPr>
              <w:t>项目名称</w:t>
            </w:r>
          </w:p>
        </w:tc>
        <w:tc>
          <w:tcPr>
            <w:tcW w:w="5051" w:type="dxa"/>
            <w:vAlign w:val="center"/>
          </w:tcPr>
          <w:p>
            <w:pPr>
              <w:spacing w:line="380" w:lineRule="exact"/>
              <w:jc w:val="center"/>
              <w:rPr>
                <w:rFonts w:ascii="宋体" w:hAnsi="宋体" w:cs="宋体"/>
                <w:bCs/>
                <w:color w:val="000000" w:themeColor="text1"/>
                <w:sz w:val="22"/>
                <w:szCs w:val="22"/>
                <w14:textFill>
                  <w14:solidFill>
                    <w14:schemeClr w14:val="tx1"/>
                  </w14:solidFill>
                </w14:textFill>
              </w:rPr>
            </w:pPr>
            <w:r>
              <w:rPr>
                <w:rFonts w:hint="eastAsia" w:ascii="宋体" w:hAnsi="宋体" w:cs="宋体"/>
                <w:bCs/>
                <w:color w:val="000000" w:themeColor="text1"/>
                <w:sz w:val="22"/>
                <w:szCs w:val="22"/>
                <w14:textFill>
                  <w14:solidFill>
                    <w14:schemeClr w14:val="tx1"/>
                  </w14:solidFill>
                </w14:textFill>
              </w:rPr>
              <w:t>投标报价(元)</w:t>
            </w:r>
          </w:p>
        </w:tc>
        <w:tc>
          <w:tcPr>
            <w:tcW w:w="2024" w:type="dxa"/>
            <w:vAlign w:val="center"/>
          </w:tcPr>
          <w:p>
            <w:pPr>
              <w:ind w:right="-21" w:rightChars="-10" w:firstLine="220" w:firstLineChars="100"/>
              <w:jc w:val="center"/>
              <w:rPr>
                <w:rFonts w:hint="eastAsia" w:ascii="宋体" w:hAnsi="宋体" w:eastAsia="宋体" w:cs="宋体"/>
                <w:bCs/>
                <w:color w:val="000000" w:themeColor="text1"/>
                <w:sz w:val="22"/>
                <w:szCs w:val="22"/>
                <w:lang w:eastAsia="zh-CN"/>
                <w14:textFill>
                  <w14:solidFill>
                    <w14:schemeClr w14:val="tx1"/>
                  </w14:solidFill>
                </w14:textFill>
              </w:rPr>
            </w:pPr>
            <w:r>
              <w:rPr>
                <w:rFonts w:hint="eastAsia" w:ascii="宋体" w:hAnsi="宋体" w:cs="宋体"/>
                <w:bCs/>
                <w:color w:val="000000" w:themeColor="text1"/>
                <w:sz w:val="22"/>
                <w:szCs w:val="22"/>
                <w:lang w:eastAsia="zh-CN"/>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8" w:hRule="atLeast"/>
        </w:trPr>
        <w:tc>
          <w:tcPr>
            <w:tcW w:w="2779" w:type="dxa"/>
            <w:vMerge w:val="restart"/>
            <w:vAlign w:val="center"/>
          </w:tcPr>
          <w:p>
            <w:pPr>
              <w:spacing w:line="380" w:lineRule="exact"/>
              <w:jc w:val="center"/>
              <w:rPr>
                <w:rFonts w:ascii="宋体" w:hAnsi="宋体" w:cs="宋体"/>
                <w:bCs/>
                <w:color w:val="000000" w:themeColor="text1"/>
                <w:sz w:val="22"/>
                <w:szCs w:val="22"/>
                <w14:textFill>
                  <w14:solidFill>
                    <w14:schemeClr w14:val="tx1"/>
                  </w14:solidFill>
                </w14:textFill>
              </w:rPr>
            </w:pPr>
          </w:p>
        </w:tc>
        <w:tc>
          <w:tcPr>
            <w:tcW w:w="5051" w:type="dxa"/>
            <w:vAlign w:val="center"/>
          </w:tcPr>
          <w:p>
            <w:pPr>
              <w:spacing w:line="380" w:lineRule="exact"/>
              <w:rPr>
                <w:rFonts w:ascii="宋体" w:hAnsi="宋体" w:cs="宋体"/>
                <w:bCs/>
                <w:color w:val="000000" w:themeColor="text1"/>
                <w:sz w:val="22"/>
                <w:szCs w:val="22"/>
                <w14:textFill>
                  <w14:solidFill>
                    <w14:schemeClr w14:val="tx1"/>
                  </w14:solidFill>
                </w14:textFill>
              </w:rPr>
            </w:pPr>
            <w:r>
              <w:rPr>
                <w:rFonts w:hint="eastAsia" w:ascii="宋体" w:hAnsi="宋体" w:cs="宋体"/>
                <w:bCs/>
                <w:color w:val="000000" w:themeColor="text1"/>
                <w:sz w:val="22"/>
                <w:szCs w:val="22"/>
                <w14:textFill>
                  <w14:solidFill>
                    <w14:schemeClr w14:val="tx1"/>
                  </w14:solidFill>
                </w14:textFill>
              </w:rPr>
              <w:t>小写：￥</w:t>
            </w:r>
          </w:p>
        </w:tc>
        <w:tc>
          <w:tcPr>
            <w:tcW w:w="2024" w:type="dxa"/>
            <w:vMerge w:val="restart"/>
            <w:vAlign w:val="center"/>
          </w:tcPr>
          <w:p>
            <w:pPr>
              <w:spacing w:line="380" w:lineRule="exact"/>
              <w:rPr>
                <w:rFonts w:ascii="宋体" w:hAnsi="宋体" w:cs="宋体"/>
                <w:bCs/>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06" w:hRule="atLeast"/>
        </w:trPr>
        <w:tc>
          <w:tcPr>
            <w:tcW w:w="2779" w:type="dxa"/>
            <w:vMerge w:val="continue"/>
            <w:vAlign w:val="center"/>
          </w:tcPr>
          <w:p>
            <w:pPr>
              <w:spacing w:line="380" w:lineRule="exact"/>
              <w:jc w:val="center"/>
              <w:rPr>
                <w:rFonts w:ascii="宋体" w:hAnsi="宋体" w:cs="宋体"/>
                <w:color w:val="000000" w:themeColor="text1"/>
                <w:kern w:val="0"/>
                <w:sz w:val="22"/>
                <w:szCs w:val="22"/>
                <w14:textFill>
                  <w14:solidFill>
                    <w14:schemeClr w14:val="tx1"/>
                  </w14:solidFill>
                </w14:textFill>
              </w:rPr>
            </w:pPr>
          </w:p>
        </w:tc>
        <w:tc>
          <w:tcPr>
            <w:tcW w:w="5051" w:type="dxa"/>
            <w:vAlign w:val="center"/>
          </w:tcPr>
          <w:p>
            <w:pPr>
              <w:spacing w:line="380" w:lineRule="exact"/>
              <w:rPr>
                <w:rFonts w:ascii="宋体" w:hAnsi="宋体" w:cs="宋体"/>
                <w:bCs/>
                <w:color w:val="000000" w:themeColor="text1"/>
                <w:sz w:val="22"/>
                <w:szCs w:val="22"/>
                <w14:textFill>
                  <w14:solidFill>
                    <w14:schemeClr w14:val="tx1"/>
                  </w14:solidFill>
                </w14:textFill>
              </w:rPr>
            </w:pPr>
            <w:r>
              <w:rPr>
                <w:rFonts w:hint="eastAsia" w:ascii="宋体" w:hAnsi="宋体" w:cs="宋体"/>
                <w:bCs/>
                <w:color w:val="000000" w:themeColor="text1"/>
                <w:sz w:val="22"/>
                <w:szCs w:val="22"/>
                <w14:textFill>
                  <w14:solidFill>
                    <w14:schemeClr w14:val="tx1"/>
                  </w14:solidFill>
                </w14:textFill>
              </w:rPr>
              <w:t>大写：人民币</w:t>
            </w:r>
          </w:p>
        </w:tc>
        <w:tc>
          <w:tcPr>
            <w:tcW w:w="2024" w:type="dxa"/>
            <w:vMerge w:val="continue"/>
            <w:vAlign w:val="center"/>
          </w:tcPr>
          <w:p>
            <w:pPr>
              <w:spacing w:line="380" w:lineRule="exact"/>
              <w:rPr>
                <w:rFonts w:ascii="宋体" w:hAnsi="宋体" w:cs="宋体"/>
                <w:bCs/>
                <w:color w:val="000000" w:themeColor="text1"/>
                <w:sz w:val="22"/>
                <w:szCs w:val="22"/>
                <w14:textFill>
                  <w14:solidFill>
                    <w14:schemeClr w14:val="tx1"/>
                  </w14:solidFill>
                </w14:textFill>
              </w:rPr>
            </w:pPr>
          </w:p>
        </w:tc>
      </w:tr>
    </w:tbl>
    <w:p>
      <w:pPr>
        <w:spacing w:line="380" w:lineRule="exact"/>
        <w:ind w:right="349" w:rightChars="166" w:firstLine="331" w:firstLineChars="150"/>
        <w:rPr>
          <w:rFonts w:ascii="宋体" w:hAnsi="宋体"/>
          <w:b/>
          <w:color w:val="000000" w:themeColor="text1"/>
          <w:sz w:val="22"/>
          <w14:textFill>
            <w14:solidFill>
              <w14:schemeClr w14:val="tx1"/>
            </w14:solidFill>
          </w14:textFill>
        </w:rPr>
      </w:pPr>
    </w:p>
    <w:p>
      <w:pPr>
        <w:spacing w:line="380" w:lineRule="exact"/>
        <w:ind w:left="533" w:leftChars="-171" w:hanging="892" w:hangingChars="404"/>
        <w:rPr>
          <w:rFonts w:ascii="宋体" w:hAnsi="宋体"/>
          <w:b/>
          <w:color w:val="000000" w:themeColor="text1"/>
          <w:sz w:val="22"/>
          <w14:textFill>
            <w14:solidFill>
              <w14:schemeClr w14:val="tx1"/>
            </w14:solidFill>
          </w14:textFill>
        </w:rPr>
      </w:pPr>
      <w:r>
        <w:rPr>
          <w:rFonts w:hint="eastAsia" w:ascii="宋体" w:hAnsi="宋体"/>
          <w:b/>
          <w:color w:val="000000" w:themeColor="text1"/>
          <w:sz w:val="22"/>
          <w14:textFill>
            <w14:solidFill>
              <w14:schemeClr w14:val="tx1"/>
            </w14:solidFill>
          </w14:textFill>
        </w:rPr>
        <w:t>说明：</w:t>
      </w:r>
    </w:p>
    <w:p>
      <w:pPr>
        <w:spacing w:line="380" w:lineRule="exact"/>
        <w:ind w:left="717" w:leftChars="171" w:hanging="358" w:hangingChars="162"/>
        <w:rPr>
          <w:rFonts w:ascii="宋体" w:hAnsi="宋体" w:cs="Arial"/>
          <w:b/>
          <w:bCs/>
          <w:color w:val="000000" w:themeColor="text1"/>
          <w:sz w:val="22"/>
          <w:szCs w:val="22"/>
          <w:u w:val="single"/>
          <w14:textFill>
            <w14:solidFill>
              <w14:schemeClr w14:val="tx1"/>
            </w14:solidFill>
          </w14:textFill>
        </w:rPr>
      </w:pPr>
      <w:r>
        <w:rPr>
          <w:rFonts w:hint="eastAsia" w:ascii="宋体" w:hAnsi="宋体"/>
          <w:b/>
          <w:color w:val="000000" w:themeColor="text1"/>
          <w:sz w:val="22"/>
          <w:szCs w:val="22"/>
          <w14:textFill>
            <w14:solidFill>
              <w14:schemeClr w14:val="tx1"/>
            </w14:solidFill>
          </w14:textFill>
        </w:rPr>
        <w:t>1、</w:t>
      </w:r>
      <w:r>
        <w:rPr>
          <w:rFonts w:hint="eastAsia" w:ascii="宋体" w:hAnsi="宋体" w:cs="Arial"/>
          <w:b/>
          <w:bCs/>
          <w:color w:val="000000" w:themeColor="text1"/>
          <w:sz w:val="22"/>
          <w:szCs w:val="22"/>
          <w:u w:val="single"/>
          <w14:textFill>
            <w14:solidFill>
              <w14:schemeClr w14:val="tx1"/>
            </w14:solidFill>
          </w14:textFill>
        </w:rPr>
        <w:t>▲不提供投标报价一览表的投标文件将被视为未实质性响应招标文件。</w:t>
      </w:r>
    </w:p>
    <w:p>
      <w:pPr>
        <w:spacing w:line="380" w:lineRule="exact"/>
        <w:ind w:firstLine="663" w:firstLineChars="300"/>
        <w:rPr>
          <w:rFonts w:ascii="宋体" w:hAnsi="宋体" w:cs="Arial"/>
          <w:b/>
          <w:bCs/>
          <w:color w:val="000000" w:themeColor="text1"/>
          <w:sz w:val="22"/>
          <w:szCs w:val="22"/>
          <w:u w:val="single"/>
          <w14:textFill>
            <w14:solidFill>
              <w14:schemeClr w14:val="tx1"/>
            </w14:solidFill>
          </w14:textFill>
        </w:rPr>
      </w:pPr>
    </w:p>
    <w:p>
      <w:pPr>
        <w:spacing w:line="380" w:lineRule="exact"/>
        <w:ind w:firstLine="660" w:firstLineChars="300"/>
        <w:rPr>
          <w:rFonts w:ascii="宋体" w:hAnsi="宋体"/>
          <w:color w:val="000000" w:themeColor="text1"/>
          <w:sz w:val="22"/>
          <w:szCs w:val="22"/>
          <w14:textFill>
            <w14:solidFill>
              <w14:schemeClr w14:val="tx1"/>
            </w14:solidFill>
          </w14:textFill>
        </w:rPr>
      </w:pPr>
    </w:p>
    <w:p>
      <w:pPr>
        <w:spacing w:line="380" w:lineRule="exact"/>
        <w:ind w:firstLine="4400" w:firstLineChars="2000"/>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投标人全称（盖章）：</w:t>
      </w:r>
    </w:p>
    <w:p>
      <w:pPr>
        <w:spacing w:line="380" w:lineRule="exact"/>
        <w:ind w:firstLine="4400" w:firstLineChars="2000"/>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法定代表人或授权代表（签字或盖章）：</w:t>
      </w:r>
    </w:p>
    <w:p>
      <w:pPr>
        <w:spacing w:line="380" w:lineRule="exact"/>
        <w:ind w:firstLine="4400" w:firstLineChars="2000"/>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日期：  年   月  日</w:t>
      </w:r>
    </w:p>
    <w:p>
      <w:pPr>
        <w:spacing w:line="380" w:lineRule="exact"/>
        <w:rPr>
          <w:rFonts w:ascii="宋体" w:hAnsi="宋体"/>
          <w:b/>
          <w:bCs/>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br w:type="page"/>
      </w:r>
      <w:r>
        <w:rPr>
          <w:rFonts w:hint="eastAsia" w:ascii="宋体" w:hAnsi="宋体"/>
          <w:b/>
          <w:bCs/>
          <w:color w:val="000000" w:themeColor="text1"/>
          <w:sz w:val="22"/>
          <w:szCs w:val="22"/>
          <w14:textFill>
            <w14:solidFill>
              <w14:schemeClr w14:val="tx1"/>
            </w14:solidFill>
          </w14:textFill>
        </w:rPr>
        <w:t>附件三</w:t>
      </w:r>
    </w:p>
    <w:p>
      <w:pPr>
        <w:spacing w:line="440" w:lineRule="exact"/>
        <w:jc w:val="center"/>
        <w:rPr>
          <w:rFonts w:ascii="宋体" w:hAnsi="宋体" w:cs="宋体"/>
          <w:bCs/>
          <w:color w:val="000000" w:themeColor="text1"/>
          <w:sz w:val="28"/>
          <w:szCs w:val="28"/>
          <w14:textFill>
            <w14:solidFill>
              <w14:schemeClr w14:val="tx1"/>
            </w14:solidFill>
          </w14:textFill>
        </w:rPr>
      </w:pPr>
      <w:r>
        <w:rPr>
          <w:rFonts w:hint="eastAsia" w:ascii="宋体" w:hAnsi="宋体" w:cs="宋体"/>
          <w:b/>
          <w:bCs/>
          <w:color w:val="000000" w:themeColor="text1"/>
          <w:sz w:val="28"/>
          <w:szCs w:val="28"/>
          <w14:textFill>
            <w14:solidFill>
              <w14:schemeClr w14:val="tx1"/>
            </w14:solidFill>
          </w14:textFill>
        </w:rPr>
        <w:t>投标分项报价表</w:t>
      </w:r>
    </w:p>
    <w:p>
      <w:pPr>
        <w:spacing w:line="380" w:lineRule="exact"/>
        <w:rPr>
          <w:rFonts w:ascii="宋体" w:hAnsi="宋体" w:cs="宋体"/>
          <w:b/>
          <w:bCs/>
          <w:color w:val="000000" w:themeColor="text1"/>
          <w:sz w:val="22"/>
          <w:szCs w:val="22"/>
          <w14:textFill>
            <w14:solidFill>
              <w14:schemeClr w14:val="tx1"/>
            </w14:solidFill>
          </w14:textFill>
        </w:rPr>
      </w:pPr>
    </w:p>
    <w:p>
      <w:pPr>
        <w:spacing w:line="380" w:lineRule="exact"/>
        <w:rPr>
          <w:rFonts w:ascii="宋体" w:hAnsi="宋体" w:cs="宋体"/>
          <w:b/>
          <w:bCs/>
          <w:color w:val="auto"/>
          <w:sz w:val="22"/>
          <w:szCs w:val="22"/>
        </w:rPr>
      </w:pPr>
      <w:r>
        <w:rPr>
          <w:rFonts w:hint="eastAsia" w:ascii="宋体" w:hAnsi="宋体" w:cs="宋体"/>
          <w:b/>
          <w:bCs/>
          <w:color w:val="auto"/>
          <w:sz w:val="22"/>
          <w:szCs w:val="22"/>
        </w:rPr>
        <w:t>项目名称：                                               项目编号：</w:t>
      </w:r>
    </w:p>
    <w:tbl>
      <w:tblPr>
        <w:tblStyle w:val="30"/>
        <w:tblW w:w="10030"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3"/>
        <w:gridCol w:w="2719"/>
        <w:gridCol w:w="1071"/>
        <w:gridCol w:w="774"/>
        <w:gridCol w:w="749"/>
        <w:gridCol w:w="1017"/>
        <w:gridCol w:w="1083"/>
        <w:gridCol w:w="1034"/>
        <w:gridCol w:w="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3" w:hRule="atLeast"/>
        </w:trPr>
        <w:tc>
          <w:tcPr>
            <w:tcW w:w="823" w:type="dxa"/>
            <w:vAlign w:val="center"/>
          </w:tcPr>
          <w:p>
            <w:pPr>
              <w:spacing w:line="380" w:lineRule="exact"/>
              <w:jc w:val="center"/>
              <w:rPr>
                <w:rFonts w:ascii="宋体" w:hAnsi="宋体" w:cs="宋体"/>
                <w:bCs/>
                <w:color w:val="auto"/>
                <w:sz w:val="22"/>
                <w:szCs w:val="22"/>
              </w:rPr>
            </w:pPr>
            <w:r>
              <w:rPr>
                <w:rFonts w:hint="eastAsia" w:ascii="宋体" w:hAnsi="宋体" w:cs="宋体"/>
                <w:bCs/>
                <w:color w:val="auto"/>
                <w:sz w:val="22"/>
                <w:szCs w:val="22"/>
              </w:rPr>
              <w:t>序号</w:t>
            </w:r>
          </w:p>
        </w:tc>
        <w:tc>
          <w:tcPr>
            <w:tcW w:w="2719" w:type="dxa"/>
            <w:vAlign w:val="center"/>
          </w:tcPr>
          <w:p>
            <w:pPr>
              <w:spacing w:line="380" w:lineRule="exact"/>
              <w:jc w:val="center"/>
              <w:rPr>
                <w:rFonts w:ascii="宋体" w:hAnsi="宋体" w:cs="宋体"/>
                <w:bCs/>
                <w:color w:val="auto"/>
                <w:sz w:val="22"/>
                <w:szCs w:val="22"/>
              </w:rPr>
            </w:pPr>
            <w:r>
              <w:rPr>
                <w:rFonts w:hint="eastAsia" w:ascii="宋体" w:hAnsi="宋体" w:cs="宋体"/>
                <w:bCs/>
                <w:color w:val="auto"/>
                <w:sz w:val="22"/>
                <w:szCs w:val="22"/>
              </w:rPr>
              <w:t>项目内容</w:t>
            </w:r>
          </w:p>
        </w:tc>
        <w:tc>
          <w:tcPr>
            <w:tcW w:w="1071" w:type="dxa"/>
            <w:vAlign w:val="center"/>
          </w:tcPr>
          <w:p>
            <w:pPr>
              <w:spacing w:line="380" w:lineRule="exact"/>
              <w:jc w:val="center"/>
              <w:rPr>
                <w:rFonts w:ascii="宋体" w:hAnsi="宋体" w:cs="宋体"/>
                <w:bCs/>
                <w:color w:val="auto"/>
                <w:sz w:val="22"/>
                <w:szCs w:val="22"/>
              </w:rPr>
            </w:pPr>
            <w:r>
              <w:rPr>
                <w:rFonts w:hint="eastAsia" w:ascii="宋体" w:hAnsi="宋体" w:cs="宋体"/>
                <w:bCs/>
                <w:color w:val="auto"/>
                <w:sz w:val="22"/>
                <w:szCs w:val="22"/>
              </w:rPr>
              <w:t>型号和规格</w:t>
            </w:r>
          </w:p>
        </w:tc>
        <w:tc>
          <w:tcPr>
            <w:tcW w:w="774" w:type="dxa"/>
            <w:vAlign w:val="center"/>
          </w:tcPr>
          <w:p>
            <w:pPr>
              <w:spacing w:line="380" w:lineRule="exact"/>
              <w:jc w:val="center"/>
              <w:rPr>
                <w:rFonts w:ascii="宋体" w:hAnsi="宋体" w:cs="宋体"/>
                <w:bCs/>
                <w:color w:val="auto"/>
                <w:sz w:val="22"/>
                <w:szCs w:val="22"/>
              </w:rPr>
            </w:pPr>
            <w:r>
              <w:rPr>
                <w:rFonts w:hint="eastAsia" w:ascii="宋体" w:hAnsi="宋体" w:cs="宋体"/>
                <w:bCs/>
                <w:color w:val="auto"/>
                <w:sz w:val="22"/>
                <w:szCs w:val="22"/>
              </w:rPr>
              <w:t>数量</w:t>
            </w:r>
          </w:p>
        </w:tc>
        <w:tc>
          <w:tcPr>
            <w:tcW w:w="749" w:type="dxa"/>
            <w:vAlign w:val="center"/>
          </w:tcPr>
          <w:p>
            <w:pPr>
              <w:spacing w:line="380" w:lineRule="exact"/>
              <w:jc w:val="center"/>
              <w:rPr>
                <w:rFonts w:ascii="宋体" w:hAnsi="宋体" w:cs="宋体"/>
                <w:bCs/>
                <w:color w:val="auto"/>
                <w:sz w:val="22"/>
                <w:szCs w:val="22"/>
              </w:rPr>
            </w:pPr>
            <w:r>
              <w:rPr>
                <w:rFonts w:hint="eastAsia" w:ascii="宋体" w:hAnsi="宋体" w:cs="宋体"/>
                <w:bCs/>
                <w:color w:val="auto"/>
                <w:sz w:val="22"/>
                <w:szCs w:val="22"/>
              </w:rPr>
              <w:t>产地</w:t>
            </w:r>
          </w:p>
        </w:tc>
        <w:tc>
          <w:tcPr>
            <w:tcW w:w="1017" w:type="dxa"/>
            <w:vAlign w:val="center"/>
          </w:tcPr>
          <w:p>
            <w:pPr>
              <w:spacing w:line="380" w:lineRule="exact"/>
              <w:jc w:val="center"/>
              <w:rPr>
                <w:rFonts w:ascii="宋体" w:hAnsi="宋体" w:cs="宋体"/>
                <w:bCs/>
                <w:color w:val="auto"/>
                <w:sz w:val="22"/>
                <w:szCs w:val="22"/>
              </w:rPr>
            </w:pPr>
            <w:r>
              <w:rPr>
                <w:rFonts w:hint="eastAsia" w:ascii="宋体" w:hAnsi="宋体" w:cs="宋体"/>
                <w:bCs/>
                <w:color w:val="auto"/>
                <w:sz w:val="22"/>
                <w:szCs w:val="22"/>
              </w:rPr>
              <w:t>制造商名称</w:t>
            </w:r>
          </w:p>
        </w:tc>
        <w:tc>
          <w:tcPr>
            <w:tcW w:w="1083" w:type="dxa"/>
            <w:vAlign w:val="center"/>
          </w:tcPr>
          <w:p>
            <w:pPr>
              <w:spacing w:line="380" w:lineRule="exact"/>
              <w:jc w:val="center"/>
              <w:rPr>
                <w:rFonts w:ascii="宋体" w:hAnsi="宋体" w:cs="宋体"/>
                <w:bCs/>
                <w:color w:val="auto"/>
                <w:sz w:val="22"/>
                <w:szCs w:val="22"/>
              </w:rPr>
            </w:pPr>
            <w:r>
              <w:rPr>
                <w:rFonts w:hint="eastAsia" w:ascii="宋体" w:hAnsi="宋体" w:cs="宋体"/>
                <w:bCs/>
                <w:color w:val="auto"/>
                <w:sz w:val="22"/>
                <w:szCs w:val="22"/>
              </w:rPr>
              <w:t>单价</w:t>
            </w:r>
          </w:p>
          <w:p>
            <w:pPr>
              <w:spacing w:line="380" w:lineRule="exact"/>
              <w:jc w:val="center"/>
              <w:rPr>
                <w:rFonts w:ascii="宋体" w:hAnsi="宋体" w:cs="宋体"/>
                <w:bCs/>
                <w:color w:val="auto"/>
                <w:sz w:val="22"/>
                <w:szCs w:val="22"/>
              </w:rPr>
            </w:pPr>
            <w:r>
              <w:rPr>
                <w:rFonts w:hint="eastAsia" w:ascii="宋体" w:hAnsi="宋体" w:cs="宋体"/>
                <w:bCs/>
                <w:color w:val="auto"/>
                <w:sz w:val="22"/>
                <w:szCs w:val="22"/>
              </w:rPr>
              <w:t>（含税）</w:t>
            </w:r>
          </w:p>
        </w:tc>
        <w:tc>
          <w:tcPr>
            <w:tcW w:w="1034" w:type="dxa"/>
            <w:vAlign w:val="center"/>
          </w:tcPr>
          <w:p>
            <w:pPr>
              <w:spacing w:line="380" w:lineRule="exact"/>
              <w:jc w:val="center"/>
              <w:rPr>
                <w:rFonts w:ascii="宋体" w:hAnsi="宋体" w:cs="宋体"/>
                <w:bCs/>
                <w:color w:val="auto"/>
                <w:sz w:val="22"/>
                <w:szCs w:val="22"/>
              </w:rPr>
            </w:pPr>
            <w:r>
              <w:rPr>
                <w:rFonts w:hint="eastAsia" w:ascii="宋体" w:hAnsi="宋体" w:cs="宋体"/>
                <w:bCs/>
                <w:color w:val="auto"/>
                <w:sz w:val="22"/>
                <w:szCs w:val="22"/>
              </w:rPr>
              <w:t>合价</w:t>
            </w:r>
          </w:p>
          <w:p>
            <w:pPr>
              <w:spacing w:line="380" w:lineRule="exact"/>
              <w:jc w:val="center"/>
              <w:rPr>
                <w:rFonts w:ascii="宋体" w:hAnsi="宋体" w:cs="宋体"/>
                <w:bCs/>
                <w:color w:val="auto"/>
                <w:sz w:val="22"/>
                <w:szCs w:val="22"/>
              </w:rPr>
            </w:pPr>
            <w:r>
              <w:rPr>
                <w:rFonts w:hint="eastAsia" w:ascii="宋体" w:hAnsi="宋体" w:cs="宋体"/>
                <w:bCs/>
                <w:color w:val="auto"/>
                <w:sz w:val="22"/>
                <w:szCs w:val="22"/>
              </w:rPr>
              <w:t>（含税）</w:t>
            </w:r>
          </w:p>
        </w:tc>
        <w:tc>
          <w:tcPr>
            <w:tcW w:w="760" w:type="dxa"/>
            <w:vAlign w:val="center"/>
          </w:tcPr>
          <w:p>
            <w:pPr>
              <w:spacing w:line="380" w:lineRule="exact"/>
              <w:jc w:val="center"/>
              <w:rPr>
                <w:rFonts w:ascii="宋体" w:hAnsi="宋体" w:cs="宋体"/>
                <w:bCs/>
                <w:color w:val="auto"/>
                <w:sz w:val="22"/>
                <w:szCs w:val="22"/>
              </w:rPr>
            </w:pPr>
            <w:r>
              <w:rPr>
                <w:rFonts w:hint="eastAsia" w:ascii="宋体" w:hAnsi="宋体" w:cs="宋体"/>
                <w:bCs/>
                <w:color w:val="auto"/>
                <w:sz w:val="22"/>
                <w:szCs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3" w:type="dxa"/>
            <w:vAlign w:val="center"/>
          </w:tcPr>
          <w:p>
            <w:pPr>
              <w:spacing w:line="380" w:lineRule="exact"/>
              <w:jc w:val="center"/>
              <w:rPr>
                <w:rFonts w:ascii="宋体" w:hAnsi="宋体" w:cs="宋体"/>
                <w:bCs/>
                <w:color w:val="auto"/>
                <w:sz w:val="22"/>
                <w:szCs w:val="22"/>
              </w:rPr>
            </w:pPr>
            <w:r>
              <w:rPr>
                <w:rFonts w:hint="eastAsia" w:ascii="宋体" w:hAnsi="宋体" w:cs="宋体"/>
                <w:bCs/>
                <w:color w:val="auto"/>
                <w:sz w:val="22"/>
                <w:szCs w:val="22"/>
              </w:rPr>
              <w:t>1</w:t>
            </w:r>
          </w:p>
        </w:tc>
        <w:tc>
          <w:tcPr>
            <w:tcW w:w="2719" w:type="dxa"/>
          </w:tcPr>
          <w:p>
            <w:pPr>
              <w:spacing w:line="400" w:lineRule="exact"/>
              <w:jc w:val="center"/>
              <w:rPr>
                <w:rFonts w:ascii="宋体" w:hAnsi="宋体" w:cs="宋体"/>
                <w:color w:val="auto"/>
                <w:sz w:val="22"/>
                <w:szCs w:val="22"/>
              </w:rPr>
            </w:pPr>
            <w:r>
              <w:rPr>
                <w:rFonts w:hint="eastAsia" w:ascii="宋体" w:hAnsi="宋体" w:cs="宋体"/>
                <w:color w:val="auto"/>
                <w:sz w:val="22"/>
                <w:szCs w:val="22"/>
              </w:rPr>
              <w:t>主要货物（根据采购清单详细分项列出）(含税)</w:t>
            </w:r>
          </w:p>
        </w:tc>
        <w:tc>
          <w:tcPr>
            <w:tcW w:w="1071" w:type="dxa"/>
            <w:vAlign w:val="center"/>
          </w:tcPr>
          <w:p>
            <w:pPr>
              <w:spacing w:line="380" w:lineRule="exact"/>
              <w:jc w:val="center"/>
              <w:rPr>
                <w:rFonts w:ascii="宋体" w:hAnsi="宋体" w:cs="宋体"/>
                <w:bCs/>
                <w:color w:val="auto"/>
                <w:sz w:val="22"/>
                <w:szCs w:val="22"/>
              </w:rPr>
            </w:pPr>
          </w:p>
        </w:tc>
        <w:tc>
          <w:tcPr>
            <w:tcW w:w="774" w:type="dxa"/>
            <w:vAlign w:val="center"/>
          </w:tcPr>
          <w:p>
            <w:pPr>
              <w:spacing w:line="380" w:lineRule="exact"/>
              <w:jc w:val="center"/>
              <w:rPr>
                <w:rFonts w:ascii="宋体" w:hAnsi="宋体" w:cs="宋体"/>
                <w:bCs/>
                <w:color w:val="auto"/>
                <w:sz w:val="22"/>
                <w:szCs w:val="22"/>
              </w:rPr>
            </w:pPr>
          </w:p>
        </w:tc>
        <w:tc>
          <w:tcPr>
            <w:tcW w:w="749" w:type="dxa"/>
            <w:vAlign w:val="center"/>
          </w:tcPr>
          <w:p>
            <w:pPr>
              <w:spacing w:line="380" w:lineRule="exact"/>
              <w:jc w:val="center"/>
              <w:rPr>
                <w:rFonts w:ascii="宋体" w:hAnsi="宋体" w:cs="宋体"/>
                <w:bCs/>
                <w:color w:val="auto"/>
                <w:sz w:val="22"/>
                <w:szCs w:val="22"/>
              </w:rPr>
            </w:pPr>
          </w:p>
        </w:tc>
        <w:tc>
          <w:tcPr>
            <w:tcW w:w="1017" w:type="dxa"/>
            <w:vAlign w:val="center"/>
          </w:tcPr>
          <w:p>
            <w:pPr>
              <w:spacing w:line="380" w:lineRule="exact"/>
              <w:jc w:val="center"/>
              <w:rPr>
                <w:rFonts w:ascii="宋体" w:hAnsi="宋体" w:cs="宋体"/>
                <w:bCs/>
                <w:color w:val="auto"/>
                <w:sz w:val="22"/>
                <w:szCs w:val="22"/>
              </w:rPr>
            </w:pPr>
          </w:p>
        </w:tc>
        <w:tc>
          <w:tcPr>
            <w:tcW w:w="1083" w:type="dxa"/>
            <w:vAlign w:val="center"/>
          </w:tcPr>
          <w:p>
            <w:pPr>
              <w:spacing w:line="380" w:lineRule="exact"/>
              <w:jc w:val="center"/>
              <w:rPr>
                <w:rFonts w:ascii="宋体" w:hAnsi="宋体" w:cs="宋体"/>
                <w:bCs/>
                <w:color w:val="auto"/>
                <w:sz w:val="22"/>
                <w:szCs w:val="22"/>
              </w:rPr>
            </w:pPr>
          </w:p>
        </w:tc>
        <w:tc>
          <w:tcPr>
            <w:tcW w:w="1034" w:type="dxa"/>
            <w:vAlign w:val="center"/>
          </w:tcPr>
          <w:p>
            <w:pPr>
              <w:spacing w:line="380" w:lineRule="exact"/>
              <w:jc w:val="center"/>
              <w:rPr>
                <w:rFonts w:ascii="宋体" w:hAnsi="宋体" w:cs="宋体"/>
                <w:bCs/>
                <w:color w:val="auto"/>
                <w:sz w:val="22"/>
                <w:szCs w:val="22"/>
              </w:rPr>
            </w:pPr>
          </w:p>
        </w:tc>
        <w:tc>
          <w:tcPr>
            <w:tcW w:w="760" w:type="dxa"/>
            <w:vAlign w:val="center"/>
          </w:tcPr>
          <w:p>
            <w:pPr>
              <w:spacing w:line="380" w:lineRule="exact"/>
              <w:jc w:val="center"/>
              <w:rPr>
                <w:rFonts w:ascii="宋体" w:hAnsi="宋体" w:cs="宋体"/>
                <w:bCs/>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3" w:type="dxa"/>
            <w:vAlign w:val="center"/>
          </w:tcPr>
          <w:p>
            <w:pPr>
              <w:spacing w:line="380" w:lineRule="exact"/>
              <w:jc w:val="center"/>
              <w:rPr>
                <w:rFonts w:ascii="宋体" w:hAnsi="宋体" w:cs="宋体"/>
                <w:bCs/>
                <w:color w:val="auto"/>
                <w:sz w:val="22"/>
                <w:szCs w:val="22"/>
              </w:rPr>
            </w:pPr>
            <w:r>
              <w:rPr>
                <w:rFonts w:hint="eastAsia" w:ascii="宋体" w:hAnsi="宋体" w:cs="宋体"/>
                <w:bCs/>
                <w:color w:val="auto"/>
                <w:sz w:val="22"/>
                <w:szCs w:val="22"/>
              </w:rPr>
              <w:t>2</w:t>
            </w:r>
          </w:p>
        </w:tc>
        <w:tc>
          <w:tcPr>
            <w:tcW w:w="2719" w:type="dxa"/>
          </w:tcPr>
          <w:p>
            <w:pPr>
              <w:spacing w:line="400" w:lineRule="exact"/>
              <w:jc w:val="center"/>
              <w:rPr>
                <w:rFonts w:ascii="宋体" w:hAnsi="宋体" w:cs="宋体"/>
                <w:color w:val="auto"/>
                <w:sz w:val="22"/>
                <w:szCs w:val="22"/>
              </w:rPr>
            </w:pPr>
            <w:r>
              <w:rPr>
                <w:rFonts w:hint="eastAsia" w:ascii="宋体" w:hAnsi="宋体" w:cs="宋体"/>
                <w:color w:val="auto"/>
                <w:sz w:val="22"/>
                <w:szCs w:val="22"/>
              </w:rPr>
              <w:t>配套设备及材料(含税)</w:t>
            </w:r>
          </w:p>
        </w:tc>
        <w:tc>
          <w:tcPr>
            <w:tcW w:w="1071" w:type="dxa"/>
            <w:vAlign w:val="center"/>
          </w:tcPr>
          <w:p>
            <w:pPr>
              <w:spacing w:line="380" w:lineRule="exact"/>
              <w:jc w:val="center"/>
              <w:rPr>
                <w:rFonts w:ascii="宋体" w:hAnsi="宋体" w:cs="宋体"/>
                <w:bCs/>
                <w:color w:val="auto"/>
                <w:sz w:val="22"/>
                <w:szCs w:val="22"/>
              </w:rPr>
            </w:pPr>
          </w:p>
        </w:tc>
        <w:tc>
          <w:tcPr>
            <w:tcW w:w="774" w:type="dxa"/>
            <w:vAlign w:val="center"/>
          </w:tcPr>
          <w:p>
            <w:pPr>
              <w:spacing w:line="380" w:lineRule="exact"/>
              <w:jc w:val="center"/>
              <w:rPr>
                <w:rFonts w:ascii="宋体" w:hAnsi="宋体" w:cs="宋体"/>
                <w:bCs/>
                <w:color w:val="auto"/>
                <w:sz w:val="22"/>
                <w:szCs w:val="22"/>
              </w:rPr>
            </w:pPr>
          </w:p>
        </w:tc>
        <w:tc>
          <w:tcPr>
            <w:tcW w:w="749" w:type="dxa"/>
            <w:vAlign w:val="center"/>
          </w:tcPr>
          <w:p>
            <w:pPr>
              <w:spacing w:line="380" w:lineRule="exact"/>
              <w:jc w:val="center"/>
              <w:rPr>
                <w:rFonts w:ascii="宋体" w:hAnsi="宋体" w:cs="宋体"/>
                <w:bCs/>
                <w:color w:val="auto"/>
                <w:sz w:val="22"/>
                <w:szCs w:val="22"/>
              </w:rPr>
            </w:pPr>
          </w:p>
        </w:tc>
        <w:tc>
          <w:tcPr>
            <w:tcW w:w="1017" w:type="dxa"/>
            <w:vAlign w:val="center"/>
          </w:tcPr>
          <w:p>
            <w:pPr>
              <w:spacing w:line="380" w:lineRule="exact"/>
              <w:jc w:val="center"/>
              <w:rPr>
                <w:rFonts w:ascii="宋体" w:hAnsi="宋体" w:cs="宋体"/>
                <w:bCs/>
                <w:color w:val="auto"/>
                <w:sz w:val="22"/>
                <w:szCs w:val="22"/>
              </w:rPr>
            </w:pPr>
          </w:p>
        </w:tc>
        <w:tc>
          <w:tcPr>
            <w:tcW w:w="1083" w:type="dxa"/>
            <w:vAlign w:val="center"/>
          </w:tcPr>
          <w:p>
            <w:pPr>
              <w:spacing w:line="380" w:lineRule="exact"/>
              <w:jc w:val="center"/>
              <w:rPr>
                <w:rFonts w:ascii="宋体" w:hAnsi="宋体" w:cs="宋体"/>
                <w:bCs/>
                <w:color w:val="auto"/>
                <w:sz w:val="22"/>
                <w:szCs w:val="22"/>
              </w:rPr>
            </w:pPr>
          </w:p>
        </w:tc>
        <w:tc>
          <w:tcPr>
            <w:tcW w:w="1034" w:type="dxa"/>
            <w:vAlign w:val="center"/>
          </w:tcPr>
          <w:p>
            <w:pPr>
              <w:spacing w:line="380" w:lineRule="exact"/>
              <w:jc w:val="center"/>
              <w:rPr>
                <w:rFonts w:ascii="宋体" w:hAnsi="宋体" w:cs="宋体"/>
                <w:bCs/>
                <w:color w:val="auto"/>
                <w:sz w:val="22"/>
                <w:szCs w:val="22"/>
              </w:rPr>
            </w:pPr>
          </w:p>
        </w:tc>
        <w:tc>
          <w:tcPr>
            <w:tcW w:w="760" w:type="dxa"/>
            <w:vAlign w:val="center"/>
          </w:tcPr>
          <w:p>
            <w:pPr>
              <w:spacing w:line="380" w:lineRule="exact"/>
              <w:jc w:val="center"/>
              <w:rPr>
                <w:rFonts w:ascii="宋体" w:hAnsi="宋体" w:cs="宋体"/>
                <w:bCs/>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3" w:type="dxa"/>
            <w:vAlign w:val="center"/>
          </w:tcPr>
          <w:p>
            <w:pPr>
              <w:spacing w:line="380" w:lineRule="exact"/>
              <w:jc w:val="center"/>
              <w:rPr>
                <w:rFonts w:ascii="宋体" w:hAnsi="宋体" w:cs="宋体"/>
                <w:bCs/>
                <w:color w:val="auto"/>
                <w:sz w:val="22"/>
                <w:szCs w:val="22"/>
              </w:rPr>
            </w:pPr>
            <w:r>
              <w:rPr>
                <w:rFonts w:hint="eastAsia" w:ascii="宋体" w:hAnsi="宋体" w:cs="宋体"/>
                <w:bCs/>
                <w:color w:val="auto"/>
                <w:sz w:val="22"/>
                <w:szCs w:val="22"/>
              </w:rPr>
              <w:t>3</w:t>
            </w:r>
          </w:p>
        </w:tc>
        <w:tc>
          <w:tcPr>
            <w:tcW w:w="2719" w:type="dxa"/>
          </w:tcPr>
          <w:p>
            <w:pPr>
              <w:spacing w:line="400" w:lineRule="exact"/>
              <w:jc w:val="center"/>
              <w:rPr>
                <w:rFonts w:ascii="宋体" w:hAnsi="宋体" w:cs="宋体"/>
                <w:color w:val="auto"/>
                <w:sz w:val="22"/>
                <w:szCs w:val="22"/>
              </w:rPr>
            </w:pPr>
            <w:r>
              <w:rPr>
                <w:rFonts w:hint="eastAsia" w:ascii="宋体" w:hAnsi="宋体" w:cs="宋体"/>
                <w:color w:val="auto"/>
                <w:sz w:val="22"/>
                <w:szCs w:val="22"/>
              </w:rPr>
              <w:t>随机易损、易耗备品备件、专用工具（有）</w:t>
            </w:r>
          </w:p>
        </w:tc>
        <w:tc>
          <w:tcPr>
            <w:tcW w:w="1071" w:type="dxa"/>
            <w:vAlign w:val="center"/>
          </w:tcPr>
          <w:p>
            <w:pPr>
              <w:spacing w:line="380" w:lineRule="exact"/>
              <w:jc w:val="center"/>
              <w:rPr>
                <w:rFonts w:ascii="宋体" w:hAnsi="宋体" w:cs="宋体"/>
                <w:bCs/>
                <w:color w:val="auto"/>
                <w:sz w:val="22"/>
                <w:szCs w:val="22"/>
              </w:rPr>
            </w:pPr>
          </w:p>
        </w:tc>
        <w:tc>
          <w:tcPr>
            <w:tcW w:w="774" w:type="dxa"/>
            <w:vAlign w:val="center"/>
          </w:tcPr>
          <w:p>
            <w:pPr>
              <w:spacing w:line="380" w:lineRule="exact"/>
              <w:jc w:val="center"/>
              <w:rPr>
                <w:rFonts w:ascii="宋体" w:hAnsi="宋体" w:cs="宋体"/>
                <w:bCs/>
                <w:color w:val="auto"/>
                <w:sz w:val="22"/>
                <w:szCs w:val="22"/>
              </w:rPr>
            </w:pPr>
          </w:p>
        </w:tc>
        <w:tc>
          <w:tcPr>
            <w:tcW w:w="749" w:type="dxa"/>
            <w:vAlign w:val="center"/>
          </w:tcPr>
          <w:p>
            <w:pPr>
              <w:spacing w:line="380" w:lineRule="exact"/>
              <w:jc w:val="center"/>
              <w:rPr>
                <w:rFonts w:ascii="宋体" w:hAnsi="宋体" w:cs="宋体"/>
                <w:bCs/>
                <w:color w:val="auto"/>
                <w:sz w:val="22"/>
                <w:szCs w:val="22"/>
              </w:rPr>
            </w:pPr>
          </w:p>
        </w:tc>
        <w:tc>
          <w:tcPr>
            <w:tcW w:w="1017" w:type="dxa"/>
            <w:vAlign w:val="center"/>
          </w:tcPr>
          <w:p>
            <w:pPr>
              <w:spacing w:line="380" w:lineRule="exact"/>
              <w:jc w:val="center"/>
              <w:rPr>
                <w:rFonts w:ascii="宋体" w:hAnsi="宋体" w:cs="宋体"/>
                <w:bCs/>
                <w:color w:val="auto"/>
                <w:sz w:val="22"/>
                <w:szCs w:val="22"/>
              </w:rPr>
            </w:pPr>
          </w:p>
        </w:tc>
        <w:tc>
          <w:tcPr>
            <w:tcW w:w="1083" w:type="dxa"/>
            <w:vAlign w:val="center"/>
          </w:tcPr>
          <w:p>
            <w:pPr>
              <w:spacing w:line="380" w:lineRule="exact"/>
              <w:jc w:val="center"/>
              <w:rPr>
                <w:rFonts w:ascii="宋体" w:hAnsi="宋体" w:cs="宋体"/>
                <w:bCs/>
                <w:color w:val="auto"/>
                <w:sz w:val="22"/>
                <w:szCs w:val="22"/>
              </w:rPr>
            </w:pPr>
          </w:p>
        </w:tc>
        <w:tc>
          <w:tcPr>
            <w:tcW w:w="1034" w:type="dxa"/>
            <w:vAlign w:val="center"/>
          </w:tcPr>
          <w:p>
            <w:pPr>
              <w:spacing w:line="380" w:lineRule="exact"/>
              <w:jc w:val="center"/>
              <w:rPr>
                <w:rFonts w:ascii="宋体" w:hAnsi="宋体" w:cs="宋体"/>
                <w:bCs/>
                <w:color w:val="auto"/>
                <w:sz w:val="22"/>
                <w:szCs w:val="22"/>
              </w:rPr>
            </w:pPr>
          </w:p>
        </w:tc>
        <w:tc>
          <w:tcPr>
            <w:tcW w:w="760" w:type="dxa"/>
            <w:vAlign w:val="center"/>
          </w:tcPr>
          <w:p>
            <w:pPr>
              <w:spacing w:line="380" w:lineRule="exact"/>
              <w:jc w:val="center"/>
              <w:rPr>
                <w:rFonts w:ascii="宋体" w:hAnsi="宋体" w:cs="宋体"/>
                <w:bCs/>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3" w:type="dxa"/>
            <w:vAlign w:val="center"/>
          </w:tcPr>
          <w:p>
            <w:pPr>
              <w:spacing w:line="380" w:lineRule="exact"/>
              <w:jc w:val="center"/>
              <w:rPr>
                <w:rFonts w:ascii="宋体" w:hAnsi="宋体" w:cs="宋体"/>
                <w:bCs/>
                <w:color w:val="auto"/>
                <w:sz w:val="22"/>
                <w:szCs w:val="22"/>
              </w:rPr>
            </w:pPr>
            <w:r>
              <w:rPr>
                <w:rFonts w:hint="eastAsia" w:ascii="宋体" w:hAnsi="宋体" w:cs="宋体"/>
                <w:bCs/>
                <w:color w:val="auto"/>
                <w:sz w:val="22"/>
                <w:szCs w:val="22"/>
              </w:rPr>
              <w:t>4</w:t>
            </w:r>
          </w:p>
        </w:tc>
        <w:tc>
          <w:tcPr>
            <w:tcW w:w="2719" w:type="dxa"/>
          </w:tcPr>
          <w:p>
            <w:pPr>
              <w:spacing w:line="400" w:lineRule="exact"/>
              <w:jc w:val="center"/>
              <w:rPr>
                <w:rFonts w:ascii="宋体" w:hAnsi="宋体" w:cs="宋体"/>
                <w:color w:val="auto"/>
                <w:sz w:val="22"/>
                <w:szCs w:val="22"/>
              </w:rPr>
            </w:pPr>
            <w:r>
              <w:rPr>
                <w:rFonts w:hint="eastAsia" w:ascii="宋体" w:hAnsi="宋体" w:cs="宋体"/>
                <w:color w:val="auto"/>
                <w:sz w:val="22"/>
                <w:szCs w:val="22"/>
              </w:rPr>
              <w:t>安装、调试、检验费</w:t>
            </w:r>
          </w:p>
          <w:p>
            <w:pPr>
              <w:spacing w:line="400" w:lineRule="exact"/>
              <w:jc w:val="center"/>
              <w:rPr>
                <w:rFonts w:ascii="宋体" w:hAnsi="宋体" w:cs="宋体"/>
                <w:color w:val="auto"/>
                <w:sz w:val="22"/>
                <w:szCs w:val="22"/>
              </w:rPr>
            </w:pPr>
            <w:r>
              <w:rPr>
                <w:rFonts w:hint="eastAsia" w:ascii="宋体" w:hAnsi="宋体" w:cs="宋体"/>
                <w:color w:val="auto"/>
                <w:sz w:val="22"/>
                <w:szCs w:val="22"/>
              </w:rPr>
              <w:t>（含第三方检验费）</w:t>
            </w:r>
          </w:p>
        </w:tc>
        <w:tc>
          <w:tcPr>
            <w:tcW w:w="5728" w:type="dxa"/>
            <w:gridSpan w:val="6"/>
            <w:vAlign w:val="center"/>
          </w:tcPr>
          <w:p>
            <w:pPr>
              <w:spacing w:line="380" w:lineRule="exact"/>
              <w:jc w:val="center"/>
              <w:rPr>
                <w:rFonts w:ascii="宋体" w:hAnsi="宋体" w:cs="宋体"/>
                <w:bCs/>
                <w:color w:val="auto"/>
                <w:sz w:val="22"/>
                <w:szCs w:val="22"/>
              </w:rPr>
            </w:pPr>
          </w:p>
        </w:tc>
        <w:tc>
          <w:tcPr>
            <w:tcW w:w="760" w:type="dxa"/>
            <w:vAlign w:val="center"/>
          </w:tcPr>
          <w:p>
            <w:pPr>
              <w:spacing w:line="380" w:lineRule="exact"/>
              <w:jc w:val="center"/>
              <w:rPr>
                <w:rFonts w:ascii="宋体" w:hAnsi="宋体" w:cs="宋体"/>
                <w:bCs/>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3" w:type="dxa"/>
            <w:vAlign w:val="center"/>
          </w:tcPr>
          <w:p>
            <w:pPr>
              <w:spacing w:line="380" w:lineRule="exact"/>
              <w:jc w:val="center"/>
              <w:rPr>
                <w:rFonts w:ascii="宋体" w:hAnsi="宋体" w:cs="宋体"/>
                <w:bCs/>
                <w:color w:val="auto"/>
                <w:sz w:val="22"/>
                <w:szCs w:val="22"/>
              </w:rPr>
            </w:pPr>
            <w:r>
              <w:rPr>
                <w:rFonts w:hint="eastAsia" w:ascii="宋体" w:hAnsi="宋体" w:cs="宋体"/>
                <w:bCs/>
                <w:color w:val="auto"/>
                <w:sz w:val="22"/>
                <w:szCs w:val="22"/>
              </w:rPr>
              <w:t>5</w:t>
            </w:r>
          </w:p>
        </w:tc>
        <w:tc>
          <w:tcPr>
            <w:tcW w:w="2719" w:type="dxa"/>
          </w:tcPr>
          <w:p>
            <w:pPr>
              <w:spacing w:line="400" w:lineRule="exact"/>
              <w:jc w:val="center"/>
              <w:rPr>
                <w:rFonts w:ascii="宋体" w:hAnsi="宋体" w:cs="宋体"/>
                <w:color w:val="auto"/>
                <w:sz w:val="22"/>
                <w:szCs w:val="22"/>
              </w:rPr>
            </w:pPr>
            <w:r>
              <w:rPr>
                <w:rFonts w:hint="eastAsia" w:ascii="宋体" w:hAnsi="宋体" w:cs="宋体"/>
                <w:color w:val="auto"/>
                <w:sz w:val="22"/>
                <w:szCs w:val="22"/>
              </w:rPr>
              <w:t>人员培训费、技术服务费（如有）</w:t>
            </w:r>
          </w:p>
        </w:tc>
        <w:tc>
          <w:tcPr>
            <w:tcW w:w="5728" w:type="dxa"/>
            <w:gridSpan w:val="6"/>
            <w:vAlign w:val="center"/>
          </w:tcPr>
          <w:p>
            <w:pPr>
              <w:spacing w:line="380" w:lineRule="exact"/>
              <w:jc w:val="center"/>
              <w:rPr>
                <w:rFonts w:ascii="宋体" w:hAnsi="宋体" w:cs="宋体"/>
                <w:bCs/>
                <w:color w:val="auto"/>
                <w:sz w:val="22"/>
                <w:szCs w:val="22"/>
              </w:rPr>
            </w:pPr>
          </w:p>
        </w:tc>
        <w:tc>
          <w:tcPr>
            <w:tcW w:w="760" w:type="dxa"/>
            <w:vAlign w:val="center"/>
          </w:tcPr>
          <w:p>
            <w:pPr>
              <w:spacing w:line="380" w:lineRule="exact"/>
              <w:jc w:val="center"/>
              <w:rPr>
                <w:rFonts w:ascii="宋体" w:hAnsi="宋体" w:cs="宋体"/>
                <w:bCs/>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3" w:type="dxa"/>
            <w:vAlign w:val="center"/>
          </w:tcPr>
          <w:p>
            <w:pPr>
              <w:spacing w:line="380" w:lineRule="exact"/>
              <w:jc w:val="center"/>
              <w:rPr>
                <w:rFonts w:ascii="宋体" w:hAnsi="宋体" w:cs="宋体"/>
                <w:bCs/>
                <w:color w:val="auto"/>
                <w:sz w:val="22"/>
                <w:szCs w:val="22"/>
              </w:rPr>
            </w:pPr>
            <w:r>
              <w:rPr>
                <w:rFonts w:hint="eastAsia" w:ascii="宋体" w:hAnsi="宋体" w:cs="宋体"/>
                <w:bCs/>
                <w:color w:val="auto"/>
                <w:sz w:val="22"/>
                <w:szCs w:val="22"/>
              </w:rPr>
              <w:t>6</w:t>
            </w:r>
          </w:p>
        </w:tc>
        <w:tc>
          <w:tcPr>
            <w:tcW w:w="2719" w:type="dxa"/>
          </w:tcPr>
          <w:p>
            <w:pPr>
              <w:spacing w:line="400" w:lineRule="exact"/>
              <w:jc w:val="center"/>
              <w:rPr>
                <w:rFonts w:ascii="宋体" w:hAnsi="宋体" w:cs="宋体"/>
                <w:color w:val="auto"/>
                <w:sz w:val="22"/>
                <w:szCs w:val="22"/>
              </w:rPr>
            </w:pPr>
            <w:r>
              <w:rPr>
                <w:rFonts w:hint="eastAsia" w:ascii="宋体" w:hAnsi="宋体" w:cs="宋体"/>
                <w:color w:val="auto"/>
                <w:sz w:val="22"/>
                <w:szCs w:val="22"/>
              </w:rPr>
              <w:t>至最终目的地的运费、保险费</w:t>
            </w:r>
          </w:p>
        </w:tc>
        <w:tc>
          <w:tcPr>
            <w:tcW w:w="5728" w:type="dxa"/>
            <w:gridSpan w:val="6"/>
            <w:vAlign w:val="center"/>
          </w:tcPr>
          <w:p>
            <w:pPr>
              <w:spacing w:line="380" w:lineRule="exact"/>
              <w:jc w:val="center"/>
              <w:rPr>
                <w:rFonts w:ascii="宋体" w:hAnsi="宋体" w:cs="宋体"/>
                <w:bCs/>
                <w:color w:val="auto"/>
                <w:sz w:val="22"/>
                <w:szCs w:val="22"/>
              </w:rPr>
            </w:pPr>
          </w:p>
        </w:tc>
        <w:tc>
          <w:tcPr>
            <w:tcW w:w="760" w:type="dxa"/>
            <w:vAlign w:val="center"/>
          </w:tcPr>
          <w:p>
            <w:pPr>
              <w:spacing w:line="380" w:lineRule="exact"/>
              <w:jc w:val="center"/>
              <w:rPr>
                <w:rFonts w:ascii="宋体" w:hAnsi="宋体" w:cs="宋体"/>
                <w:bCs/>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3" w:type="dxa"/>
            <w:vAlign w:val="center"/>
          </w:tcPr>
          <w:p>
            <w:pPr>
              <w:spacing w:line="380" w:lineRule="exact"/>
              <w:jc w:val="center"/>
              <w:rPr>
                <w:rFonts w:ascii="宋体" w:hAnsi="宋体" w:cs="宋体"/>
                <w:bCs/>
                <w:color w:val="auto"/>
                <w:sz w:val="22"/>
                <w:szCs w:val="22"/>
              </w:rPr>
            </w:pPr>
            <w:r>
              <w:rPr>
                <w:rFonts w:hint="eastAsia" w:ascii="宋体" w:hAnsi="宋体" w:cs="宋体"/>
                <w:bCs/>
                <w:color w:val="auto"/>
                <w:sz w:val="22"/>
                <w:szCs w:val="22"/>
              </w:rPr>
              <w:t>7</w:t>
            </w:r>
          </w:p>
        </w:tc>
        <w:tc>
          <w:tcPr>
            <w:tcW w:w="2719" w:type="dxa"/>
          </w:tcPr>
          <w:p>
            <w:pPr>
              <w:spacing w:line="400" w:lineRule="exact"/>
              <w:jc w:val="center"/>
              <w:rPr>
                <w:rFonts w:ascii="宋体" w:hAnsi="宋体" w:cs="宋体"/>
                <w:color w:val="auto"/>
                <w:sz w:val="22"/>
                <w:szCs w:val="22"/>
              </w:rPr>
            </w:pPr>
            <w:r>
              <w:rPr>
                <w:rFonts w:hint="eastAsia" w:ascii="宋体" w:hAnsi="宋体" w:cs="宋体"/>
                <w:color w:val="auto"/>
                <w:sz w:val="22"/>
                <w:szCs w:val="22"/>
              </w:rPr>
              <w:t>其他</w:t>
            </w:r>
          </w:p>
        </w:tc>
        <w:tc>
          <w:tcPr>
            <w:tcW w:w="5728" w:type="dxa"/>
            <w:gridSpan w:val="6"/>
            <w:vAlign w:val="center"/>
          </w:tcPr>
          <w:p>
            <w:pPr>
              <w:spacing w:line="380" w:lineRule="exact"/>
              <w:jc w:val="center"/>
              <w:rPr>
                <w:rFonts w:ascii="宋体" w:hAnsi="宋体" w:cs="宋体"/>
                <w:bCs/>
                <w:color w:val="auto"/>
                <w:sz w:val="22"/>
                <w:szCs w:val="22"/>
              </w:rPr>
            </w:pPr>
          </w:p>
        </w:tc>
        <w:tc>
          <w:tcPr>
            <w:tcW w:w="760" w:type="dxa"/>
            <w:vAlign w:val="center"/>
          </w:tcPr>
          <w:p>
            <w:pPr>
              <w:spacing w:line="380" w:lineRule="exact"/>
              <w:jc w:val="center"/>
              <w:rPr>
                <w:rFonts w:ascii="宋体" w:hAnsi="宋体" w:cs="宋体"/>
                <w:bCs/>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542" w:type="dxa"/>
            <w:gridSpan w:val="2"/>
            <w:vAlign w:val="center"/>
          </w:tcPr>
          <w:p>
            <w:pPr>
              <w:spacing w:line="400" w:lineRule="exact"/>
              <w:jc w:val="center"/>
              <w:rPr>
                <w:rFonts w:ascii="宋体" w:hAnsi="宋体" w:cs="宋体"/>
                <w:color w:val="auto"/>
                <w:sz w:val="22"/>
                <w:szCs w:val="22"/>
              </w:rPr>
            </w:pPr>
            <w:r>
              <w:rPr>
                <w:rFonts w:hint="eastAsia" w:ascii="宋体" w:hAnsi="宋体" w:cs="宋体"/>
                <w:color w:val="auto"/>
                <w:sz w:val="22"/>
                <w:szCs w:val="22"/>
              </w:rPr>
              <w:t>总   计   价</w:t>
            </w:r>
          </w:p>
        </w:tc>
        <w:tc>
          <w:tcPr>
            <w:tcW w:w="6488" w:type="dxa"/>
            <w:gridSpan w:val="7"/>
            <w:vAlign w:val="center"/>
          </w:tcPr>
          <w:p>
            <w:pPr>
              <w:spacing w:line="380" w:lineRule="exact"/>
              <w:jc w:val="center"/>
              <w:rPr>
                <w:rFonts w:ascii="宋体" w:hAnsi="宋体" w:cs="宋体"/>
                <w:bCs/>
                <w:color w:val="auto"/>
                <w:sz w:val="22"/>
                <w:szCs w:val="22"/>
              </w:rPr>
            </w:pPr>
          </w:p>
        </w:tc>
      </w:tr>
    </w:tbl>
    <w:p>
      <w:pPr>
        <w:spacing w:line="440" w:lineRule="exact"/>
        <w:rPr>
          <w:rFonts w:ascii="宋体" w:hAnsi="宋体" w:cs="宋体"/>
          <w:color w:val="000000" w:themeColor="text1"/>
          <w:sz w:val="22"/>
          <w:szCs w:val="22"/>
          <w14:textFill>
            <w14:solidFill>
              <w14:schemeClr w14:val="tx1"/>
            </w14:solidFill>
          </w14:textFill>
        </w:rPr>
      </w:pPr>
      <w:r>
        <w:rPr>
          <w:rFonts w:hint="eastAsia" w:ascii="宋体" w:hAnsi="宋体" w:cs="宋体"/>
          <w:b/>
          <w:bCs/>
          <w:color w:val="000000" w:themeColor="text1"/>
          <w:sz w:val="22"/>
          <w:szCs w:val="22"/>
          <w14:textFill>
            <w14:solidFill>
              <w14:schemeClr w14:val="tx1"/>
            </w14:solidFill>
          </w14:textFill>
        </w:rPr>
        <w:t>说明：▲</w:t>
      </w:r>
      <w:r>
        <w:rPr>
          <w:rFonts w:hint="eastAsia" w:ascii="宋体" w:hAnsi="宋体" w:cs="宋体"/>
          <w:b/>
          <w:color w:val="000000" w:themeColor="text1"/>
          <w:sz w:val="22"/>
          <w:szCs w:val="22"/>
          <w:u w:val="single"/>
          <w14:textFill>
            <w14:solidFill>
              <w14:schemeClr w14:val="tx1"/>
            </w14:solidFill>
          </w14:textFill>
        </w:rPr>
        <w:t>1.不提供详细分项报价将视为没有实质性响应招标文件。</w:t>
      </w:r>
    </w:p>
    <w:p>
      <w:pPr>
        <w:spacing w:line="440" w:lineRule="exact"/>
        <w:ind w:firstLine="720"/>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2.</w:t>
      </w:r>
      <w:r>
        <w:rPr>
          <w:rFonts w:hint="eastAsia" w:ascii="宋体" w:hAnsi="宋体" w:cs="宋体"/>
          <w:b/>
          <w:color w:val="000000" w:themeColor="text1"/>
          <w:sz w:val="22"/>
          <w:szCs w:val="22"/>
          <w14:textFill>
            <w14:solidFill>
              <w14:schemeClr w14:val="tx1"/>
            </w14:solidFill>
          </w14:textFill>
        </w:rPr>
        <w:t>此表的</w:t>
      </w:r>
      <w:r>
        <w:rPr>
          <w:rFonts w:hint="eastAsia" w:ascii="宋体" w:hAnsi="宋体" w:cs="宋体"/>
          <w:b/>
          <w:bCs/>
          <w:color w:val="000000" w:themeColor="text1"/>
          <w:sz w:val="22"/>
          <w:szCs w:val="22"/>
          <w14:textFill>
            <w14:solidFill>
              <w14:schemeClr w14:val="tx1"/>
            </w14:solidFill>
          </w14:textFill>
        </w:rPr>
        <w:t>总计</w:t>
      </w:r>
      <w:r>
        <w:rPr>
          <w:rFonts w:hint="eastAsia" w:ascii="宋体" w:hAnsi="宋体" w:cs="宋体"/>
          <w:b/>
          <w:color w:val="000000" w:themeColor="text1"/>
          <w:sz w:val="22"/>
          <w:szCs w:val="22"/>
          <w14:textFill>
            <w14:solidFill>
              <w14:schemeClr w14:val="tx1"/>
            </w14:solidFill>
          </w14:textFill>
        </w:rPr>
        <w:t>价应与附件二“投标报价一览表”投标报价相一致。</w:t>
      </w:r>
    </w:p>
    <w:p>
      <w:pPr>
        <w:spacing w:line="440" w:lineRule="exact"/>
        <w:ind w:firstLine="720"/>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3.如果免费请在该备注栏内注明“免”，如果含在产品价格中则填“含”，如无此项内容则填“无”，不留空白。</w:t>
      </w:r>
    </w:p>
    <w:p>
      <w:pPr>
        <w:spacing w:line="440" w:lineRule="exact"/>
        <w:ind w:firstLine="720"/>
        <w:rPr>
          <w:rFonts w:ascii="宋体" w:hAnsi="宋体" w:cs="宋体"/>
          <w:color w:val="000000" w:themeColor="text1"/>
          <w:sz w:val="22"/>
          <w:szCs w:val="22"/>
          <w14:textFill>
            <w14:solidFill>
              <w14:schemeClr w14:val="tx1"/>
            </w14:solidFill>
          </w14:textFill>
        </w:rPr>
      </w:pPr>
    </w:p>
    <w:p>
      <w:pPr>
        <w:spacing w:line="440" w:lineRule="exact"/>
        <w:ind w:firstLine="720"/>
        <w:rPr>
          <w:rFonts w:ascii="宋体" w:hAnsi="宋体" w:cs="宋体"/>
          <w:color w:val="000000" w:themeColor="text1"/>
          <w:sz w:val="22"/>
          <w:szCs w:val="22"/>
          <w14:textFill>
            <w14:solidFill>
              <w14:schemeClr w14:val="tx1"/>
            </w14:solidFill>
          </w14:textFill>
        </w:rPr>
      </w:pPr>
    </w:p>
    <w:p>
      <w:pPr>
        <w:spacing w:line="440" w:lineRule="exac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投标人全称（盖章）：</w:t>
      </w:r>
    </w:p>
    <w:p>
      <w:pPr>
        <w:spacing w:line="440" w:lineRule="exac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授权代表（签字）：</w:t>
      </w:r>
    </w:p>
    <w:p>
      <w:pPr>
        <w:spacing w:line="440" w:lineRule="exac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日 期：      年     月    日</w:t>
      </w:r>
    </w:p>
    <w:p>
      <w:pPr>
        <w:rPr>
          <w:rFonts w:ascii="宋体" w:hAnsi="宋体" w:cs="宋体"/>
          <w:color w:val="000000" w:themeColor="text1"/>
          <w14:textFill>
            <w14:solidFill>
              <w14:schemeClr w14:val="tx1"/>
            </w14:solidFill>
          </w14:textFill>
        </w:rPr>
      </w:pPr>
    </w:p>
    <w:p>
      <w:pPr>
        <w:spacing w:line="380" w:lineRule="exact"/>
        <w:rPr>
          <w:rFonts w:ascii="宋体" w:hAnsi="宋体" w:cs="Arial"/>
          <w:b/>
          <w:color w:val="000000" w:themeColor="text1"/>
          <w:sz w:val="22"/>
          <w:szCs w:val="22"/>
          <w14:textFill>
            <w14:solidFill>
              <w14:schemeClr w14:val="tx1"/>
            </w14:solidFill>
          </w14:textFill>
        </w:rPr>
      </w:pPr>
      <w:r>
        <w:rPr>
          <w:rFonts w:ascii="宋体" w:hAnsi="宋体" w:cs="Arial"/>
          <w:b/>
          <w:color w:val="000000" w:themeColor="text1"/>
          <w:sz w:val="22"/>
          <w:szCs w:val="22"/>
          <w14:textFill>
            <w14:solidFill>
              <w14:schemeClr w14:val="tx1"/>
            </w14:solidFill>
          </w14:textFill>
        </w:rPr>
        <w:br w:type="page"/>
      </w:r>
      <w:r>
        <w:rPr>
          <w:rFonts w:hint="eastAsia" w:ascii="宋体" w:hAnsi="宋体"/>
          <w:b/>
          <w:bCs/>
          <w:color w:val="000000" w:themeColor="text1"/>
          <w:sz w:val="22"/>
          <w:szCs w:val="22"/>
          <w14:textFill>
            <w14:solidFill>
              <w14:schemeClr w14:val="tx1"/>
            </w14:solidFill>
          </w14:textFill>
        </w:rPr>
        <w:t>附件四</w:t>
      </w:r>
    </w:p>
    <w:p>
      <w:pPr>
        <w:spacing w:line="460" w:lineRule="exact"/>
        <w:ind w:firstLine="437"/>
        <w:jc w:val="center"/>
        <w:rPr>
          <w:rFonts w:ascii="宋体" w:hAnsi="宋体"/>
          <w:b/>
          <w:bCs/>
          <w:color w:val="000000" w:themeColor="text1"/>
          <w:sz w:val="28"/>
          <w:szCs w:val="28"/>
          <w14:textFill>
            <w14:solidFill>
              <w14:schemeClr w14:val="tx1"/>
            </w14:solidFill>
          </w14:textFill>
        </w:rPr>
      </w:pPr>
      <w:r>
        <w:rPr>
          <w:rFonts w:hint="eastAsia" w:ascii="宋体" w:hAnsi="宋体"/>
          <w:b/>
          <w:bCs/>
          <w:color w:val="000000" w:themeColor="text1"/>
          <w:sz w:val="28"/>
          <w:szCs w:val="28"/>
          <w14:textFill>
            <w14:solidFill>
              <w14:schemeClr w14:val="tx1"/>
            </w14:solidFill>
          </w14:textFill>
        </w:rPr>
        <w:t>技术规格、商务条款偏离表</w:t>
      </w:r>
    </w:p>
    <w:p>
      <w:pPr>
        <w:spacing w:line="380" w:lineRule="exact"/>
        <w:rPr>
          <w:rFonts w:ascii="宋体" w:hAnsi="宋体"/>
          <w:b/>
          <w:bCs/>
          <w:color w:val="000000" w:themeColor="text1"/>
          <w:sz w:val="22"/>
          <w:szCs w:val="22"/>
          <w14:textFill>
            <w14:solidFill>
              <w14:schemeClr w14:val="tx1"/>
            </w14:solidFill>
          </w14:textFill>
        </w:rPr>
      </w:pPr>
      <w:r>
        <w:rPr>
          <w:rFonts w:hint="eastAsia" w:ascii="宋体" w:hAnsi="宋体"/>
          <w:b/>
          <w:bCs/>
          <w:color w:val="000000" w:themeColor="text1"/>
          <w:sz w:val="22"/>
          <w:szCs w:val="22"/>
          <w14:textFill>
            <w14:solidFill>
              <w14:schemeClr w14:val="tx1"/>
            </w14:solidFill>
          </w14:textFill>
        </w:rPr>
        <w:t>投标人名称：                                          招标编号：</w:t>
      </w:r>
    </w:p>
    <w:tbl>
      <w:tblPr>
        <w:tblStyle w:val="30"/>
        <w:tblW w:w="985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3"/>
        <w:gridCol w:w="1364"/>
        <w:gridCol w:w="2097"/>
        <w:gridCol w:w="1992"/>
        <w:gridCol w:w="1866"/>
        <w:gridCol w:w="15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0" w:hRule="atLeast"/>
          <w:jc w:val="center"/>
        </w:trPr>
        <w:tc>
          <w:tcPr>
            <w:tcW w:w="943" w:type="dxa"/>
          </w:tcPr>
          <w:p>
            <w:pPr>
              <w:spacing w:line="380" w:lineRule="exact"/>
              <w:jc w:val="center"/>
              <w:rPr>
                <w:rFonts w:ascii="宋体" w:hAnsi="宋体"/>
                <w:color w:val="000000" w:themeColor="text1"/>
                <w:sz w:val="22"/>
                <w:szCs w:val="22"/>
                <w14:textFill>
                  <w14:solidFill>
                    <w14:schemeClr w14:val="tx1"/>
                  </w14:solidFill>
                </w14:textFill>
              </w:rPr>
            </w:pPr>
          </w:p>
        </w:tc>
        <w:tc>
          <w:tcPr>
            <w:tcW w:w="1364" w:type="dxa"/>
            <w:vAlign w:val="center"/>
          </w:tcPr>
          <w:p>
            <w:pPr>
              <w:spacing w:line="380" w:lineRule="exact"/>
              <w:jc w:val="center"/>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序号</w:t>
            </w:r>
          </w:p>
        </w:tc>
        <w:tc>
          <w:tcPr>
            <w:tcW w:w="2097" w:type="dxa"/>
            <w:vAlign w:val="center"/>
          </w:tcPr>
          <w:p>
            <w:pPr>
              <w:spacing w:line="380" w:lineRule="exact"/>
              <w:jc w:val="center"/>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招标文件</w:t>
            </w:r>
          </w:p>
          <w:p>
            <w:pPr>
              <w:spacing w:line="380" w:lineRule="exact"/>
              <w:jc w:val="center"/>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条目号</w:t>
            </w:r>
          </w:p>
        </w:tc>
        <w:tc>
          <w:tcPr>
            <w:tcW w:w="1992" w:type="dxa"/>
            <w:vAlign w:val="center"/>
          </w:tcPr>
          <w:p>
            <w:pPr>
              <w:spacing w:line="380" w:lineRule="exact"/>
              <w:jc w:val="center"/>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招标文件</w:t>
            </w:r>
          </w:p>
          <w:p>
            <w:pPr>
              <w:spacing w:line="380" w:lineRule="exact"/>
              <w:jc w:val="center"/>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规范要求</w:t>
            </w:r>
          </w:p>
        </w:tc>
        <w:tc>
          <w:tcPr>
            <w:tcW w:w="1866" w:type="dxa"/>
            <w:vAlign w:val="center"/>
          </w:tcPr>
          <w:p>
            <w:pPr>
              <w:spacing w:line="380" w:lineRule="exact"/>
              <w:jc w:val="center"/>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投标文件</w:t>
            </w:r>
          </w:p>
          <w:p>
            <w:pPr>
              <w:spacing w:line="380" w:lineRule="exact"/>
              <w:jc w:val="center"/>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对应规范</w:t>
            </w:r>
          </w:p>
        </w:tc>
        <w:tc>
          <w:tcPr>
            <w:tcW w:w="1592" w:type="dxa"/>
            <w:vAlign w:val="center"/>
          </w:tcPr>
          <w:p>
            <w:pPr>
              <w:spacing w:line="380" w:lineRule="exact"/>
              <w:jc w:val="center"/>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偏离情况说明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40" w:hRule="atLeast"/>
          <w:jc w:val="center"/>
        </w:trPr>
        <w:tc>
          <w:tcPr>
            <w:tcW w:w="943" w:type="dxa"/>
            <w:vMerge w:val="restart"/>
            <w:vAlign w:val="center"/>
          </w:tcPr>
          <w:p>
            <w:pPr>
              <w:spacing w:line="380" w:lineRule="exact"/>
              <w:jc w:val="center"/>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技</w:t>
            </w:r>
          </w:p>
          <w:p>
            <w:pPr>
              <w:spacing w:line="380" w:lineRule="exact"/>
              <w:jc w:val="center"/>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术</w:t>
            </w:r>
          </w:p>
          <w:p>
            <w:pPr>
              <w:spacing w:line="380" w:lineRule="exact"/>
              <w:jc w:val="center"/>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规</w:t>
            </w:r>
          </w:p>
          <w:p>
            <w:pPr>
              <w:spacing w:line="380" w:lineRule="exact"/>
              <w:jc w:val="center"/>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格</w:t>
            </w:r>
          </w:p>
        </w:tc>
        <w:tc>
          <w:tcPr>
            <w:tcW w:w="1364" w:type="dxa"/>
            <w:vAlign w:val="center"/>
          </w:tcPr>
          <w:p>
            <w:pPr>
              <w:spacing w:line="380" w:lineRule="exact"/>
              <w:jc w:val="center"/>
              <w:rPr>
                <w:rFonts w:ascii="宋体" w:hAnsi="宋体"/>
                <w:color w:val="000000" w:themeColor="text1"/>
                <w:sz w:val="22"/>
                <w:szCs w:val="22"/>
                <w14:textFill>
                  <w14:solidFill>
                    <w14:schemeClr w14:val="tx1"/>
                  </w14:solidFill>
                </w14:textFill>
              </w:rPr>
            </w:pPr>
          </w:p>
        </w:tc>
        <w:tc>
          <w:tcPr>
            <w:tcW w:w="2097" w:type="dxa"/>
            <w:vAlign w:val="center"/>
          </w:tcPr>
          <w:p>
            <w:pPr>
              <w:spacing w:line="380" w:lineRule="exact"/>
              <w:jc w:val="center"/>
              <w:rPr>
                <w:rFonts w:ascii="宋体" w:hAnsi="宋体"/>
                <w:color w:val="000000" w:themeColor="text1"/>
                <w:sz w:val="22"/>
                <w:szCs w:val="22"/>
                <w14:textFill>
                  <w14:solidFill>
                    <w14:schemeClr w14:val="tx1"/>
                  </w14:solidFill>
                </w14:textFill>
              </w:rPr>
            </w:pPr>
          </w:p>
        </w:tc>
        <w:tc>
          <w:tcPr>
            <w:tcW w:w="1992" w:type="dxa"/>
            <w:vAlign w:val="center"/>
          </w:tcPr>
          <w:p>
            <w:pPr>
              <w:spacing w:line="380" w:lineRule="exact"/>
              <w:jc w:val="center"/>
              <w:rPr>
                <w:rFonts w:ascii="宋体" w:hAnsi="宋体"/>
                <w:color w:val="000000" w:themeColor="text1"/>
                <w:sz w:val="22"/>
                <w:szCs w:val="22"/>
                <w14:textFill>
                  <w14:solidFill>
                    <w14:schemeClr w14:val="tx1"/>
                  </w14:solidFill>
                </w14:textFill>
              </w:rPr>
            </w:pPr>
          </w:p>
        </w:tc>
        <w:tc>
          <w:tcPr>
            <w:tcW w:w="1866" w:type="dxa"/>
            <w:vAlign w:val="center"/>
          </w:tcPr>
          <w:p>
            <w:pPr>
              <w:spacing w:line="380" w:lineRule="exact"/>
              <w:jc w:val="center"/>
              <w:rPr>
                <w:rFonts w:ascii="宋体" w:hAnsi="宋体"/>
                <w:color w:val="000000" w:themeColor="text1"/>
                <w:sz w:val="22"/>
                <w:szCs w:val="22"/>
                <w14:textFill>
                  <w14:solidFill>
                    <w14:schemeClr w14:val="tx1"/>
                  </w14:solidFill>
                </w14:textFill>
              </w:rPr>
            </w:pPr>
          </w:p>
        </w:tc>
        <w:tc>
          <w:tcPr>
            <w:tcW w:w="1592" w:type="dxa"/>
            <w:vAlign w:val="center"/>
          </w:tcPr>
          <w:p>
            <w:pPr>
              <w:spacing w:line="380" w:lineRule="exact"/>
              <w:jc w:val="center"/>
              <w:rPr>
                <w:rFonts w:ascii="宋体" w:hAnsi="宋体"/>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71" w:hRule="atLeast"/>
          <w:jc w:val="center"/>
        </w:trPr>
        <w:tc>
          <w:tcPr>
            <w:tcW w:w="943" w:type="dxa"/>
            <w:vMerge w:val="continue"/>
          </w:tcPr>
          <w:p>
            <w:pPr>
              <w:spacing w:line="380" w:lineRule="exact"/>
              <w:ind w:firstLine="220" w:firstLineChars="100"/>
              <w:rPr>
                <w:rFonts w:ascii="宋体" w:hAnsi="宋体"/>
                <w:color w:val="000000" w:themeColor="text1"/>
                <w:sz w:val="22"/>
                <w:szCs w:val="22"/>
                <w14:textFill>
                  <w14:solidFill>
                    <w14:schemeClr w14:val="tx1"/>
                  </w14:solidFill>
                </w14:textFill>
              </w:rPr>
            </w:pPr>
          </w:p>
        </w:tc>
        <w:tc>
          <w:tcPr>
            <w:tcW w:w="1364" w:type="dxa"/>
            <w:vAlign w:val="center"/>
          </w:tcPr>
          <w:p>
            <w:pPr>
              <w:spacing w:line="380" w:lineRule="exact"/>
              <w:jc w:val="center"/>
              <w:rPr>
                <w:rFonts w:ascii="宋体" w:hAnsi="宋体"/>
                <w:color w:val="000000" w:themeColor="text1"/>
                <w:sz w:val="22"/>
                <w:szCs w:val="22"/>
                <w14:textFill>
                  <w14:solidFill>
                    <w14:schemeClr w14:val="tx1"/>
                  </w14:solidFill>
                </w14:textFill>
              </w:rPr>
            </w:pPr>
          </w:p>
        </w:tc>
        <w:tc>
          <w:tcPr>
            <w:tcW w:w="2097" w:type="dxa"/>
            <w:vAlign w:val="center"/>
          </w:tcPr>
          <w:p>
            <w:pPr>
              <w:spacing w:line="380" w:lineRule="exact"/>
              <w:jc w:val="center"/>
              <w:rPr>
                <w:rFonts w:ascii="宋体" w:hAnsi="宋体"/>
                <w:color w:val="000000" w:themeColor="text1"/>
                <w:sz w:val="22"/>
                <w:szCs w:val="22"/>
                <w14:textFill>
                  <w14:solidFill>
                    <w14:schemeClr w14:val="tx1"/>
                  </w14:solidFill>
                </w14:textFill>
              </w:rPr>
            </w:pPr>
          </w:p>
        </w:tc>
        <w:tc>
          <w:tcPr>
            <w:tcW w:w="1992" w:type="dxa"/>
            <w:vAlign w:val="center"/>
          </w:tcPr>
          <w:p>
            <w:pPr>
              <w:spacing w:line="380" w:lineRule="exact"/>
              <w:jc w:val="center"/>
              <w:rPr>
                <w:rFonts w:ascii="宋体" w:hAnsi="宋体"/>
                <w:color w:val="000000" w:themeColor="text1"/>
                <w:sz w:val="22"/>
                <w:szCs w:val="22"/>
                <w14:textFill>
                  <w14:solidFill>
                    <w14:schemeClr w14:val="tx1"/>
                  </w14:solidFill>
                </w14:textFill>
              </w:rPr>
            </w:pPr>
          </w:p>
        </w:tc>
        <w:tc>
          <w:tcPr>
            <w:tcW w:w="1866" w:type="dxa"/>
            <w:vAlign w:val="center"/>
          </w:tcPr>
          <w:p>
            <w:pPr>
              <w:spacing w:line="380" w:lineRule="exact"/>
              <w:jc w:val="center"/>
              <w:rPr>
                <w:rFonts w:ascii="宋体" w:hAnsi="宋体"/>
                <w:color w:val="000000" w:themeColor="text1"/>
                <w:sz w:val="22"/>
                <w:szCs w:val="22"/>
                <w14:textFill>
                  <w14:solidFill>
                    <w14:schemeClr w14:val="tx1"/>
                  </w14:solidFill>
                </w14:textFill>
              </w:rPr>
            </w:pPr>
          </w:p>
        </w:tc>
        <w:tc>
          <w:tcPr>
            <w:tcW w:w="1592" w:type="dxa"/>
            <w:vAlign w:val="center"/>
          </w:tcPr>
          <w:p>
            <w:pPr>
              <w:spacing w:line="380" w:lineRule="exact"/>
              <w:jc w:val="center"/>
              <w:rPr>
                <w:rFonts w:ascii="宋体" w:hAnsi="宋体"/>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71" w:hRule="atLeast"/>
          <w:jc w:val="center"/>
        </w:trPr>
        <w:tc>
          <w:tcPr>
            <w:tcW w:w="943" w:type="dxa"/>
            <w:vMerge w:val="continue"/>
          </w:tcPr>
          <w:p>
            <w:pPr>
              <w:spacing w:line="380" w:lineRule="exact"/>
              <w:jc w:val="center"/>
              <w:rPr>
                <w:rFonts w:ascii="宋体" w:hAnsi="宋体"/>
                <w:color w:val="000000" w:themeColor="text1"/>
                <w:sz w:val="22"/>
                <w:szCs w:val="22"/>
                <w14:textFill>
                  <w14:solidFill>
                    <w14:schemeClr w14:val="tx1"/>
                  </w14:solidFill>
                </w14:textFill>
              </w:rPr>
            </w:pPr>
          </w:p>
        </w:tc>
        <w:tc>
          <w:tcPr>
            <w:tcW w:w="1364" w:type="dxa"/>
            <w:vAlign w:val="center"/>
          </w:tcPr>
          <w:p>
            <w:pPr>
              <w:spacing w:line="380" w:lineRule="exact"/>
              <w:jc w:val="center"/>
              <w:rPr>
                <w:rFonts w:ascii="宋体" w:hAnsi="宋体"/>
                <w:color w:val="000000" w:themeColor="text1"/>
                <w:sz w:val="22"/>
                <w:szCs w:val="22"/>
                <w14:textFill>
                  <w14:solidFill>
                    <w14:schemeClr w14:val="tx1"/>
                  </w14:solidFill>
                </w14:textFill>
              </w:rPr>
            </w:pPr>
          </w:p>
        </w:tc>
        <w:tc>
          <w:tcPr>
            <w:tcW w:w="2097" w:type="dxa"/>
            <w:vAlign w:val="center"/>
          </w:tcPr>
          <w:p>
            <w:pPr>
              <w:spacing w:line="380" w:lineRule="exact"/>
              <w:jc w:val="center"/>
              <w:rPr>
                <w:rFonts w:ascii="宋体" w:hAnsi="宋体"/>
                <w:color w:val="000000" w:themeColor="text1"/>
                <w:sz w:val="22"/>
                <w:szCs w:val="22"/>
                <w14:textFill>
                  <w14:solidFill>
                    <w14:schemeClr w14:val="tx1"/>
                  </w14:solidFill>
                </w14:textFill>
              </w:rPr>
            </w:pPr>
          </w:p>
        </w:tc>
        <w:tc>
          <w:tcPr>
            <w:tcW w:w="1992" w:type="dxa"/>
            <w:vAlign w:val="center"/>
          </w:tcPr>
          <w:p>
            <w:pPr>
              <w:spacing w:line="380" w:lineRule="exact"/>
              <w:jc w:val="center"/>
              <w:rPr>
                <w:rFonts w:ascii="宋体" w:hAnsi="宋体"/>
                <w:color w:val="000000" w:themeColor="text1"/>
                <w:sz w:val="22"/>
                <w:szCs w:val="22"/>
                <w14:textFill>
                  <w14:solidFill>
                    <w14:schemeClr w14:val="tx1"/>
                  </w14:solidFill>
                </w14:textFill>
              </w:rPr>
            </w:pPr>
          </w:p>
        </w:tc>
        <w:tc>
          <w:tcPr>
            <w:tcW w:w="1866" w:type="dxa"/>
            <w:vAlign w:val="center"/>
          </w:tcPr>
          <w:p>
            <w:pPr>
              <w:spacing w:line="380" w:lineRule="exact"/>
              <w:jc w:val="center"/>
              <w:rPr>
                <w:rFonts w:ascii="宋体" w:hAnsi="宋体"/>
                <w:color w:val="000000" w:themeColor="text1"/>
                <w:sz w:val="22"/>
                <w:szCs w:val="22"/>
                <w14:textFill>
                  <w14:solidFill>
                    <w14:schemeClr w14:val="tx1"/>
                  </w14:solidFill>
                </w14:textFill>
              </w:rPr>
            </w:pPr>
          </w:p>
        </w:tc>
        <w:tc>
          <w:tcPr>
            <w:tcW w:w="1592" w:type="dxa"/>
            <w:vAlign w:val="center"/>
          </w:tcPr>
          <w:p>
            <w:pPr>
              <w:spacing w:line="380" w:lineRule="exact"/>
              <w:jc w:val="center"/>
              <w:rPr>
                <w:rFonts w:ascii="宋体" w:hAnsi="宋体"/>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71" w:hRule="atLeast"/>
          <w:jc w:val="center"/>
        </w:trPr>
        <w:tc>
          <w:tcPr>
            <w:tcW w:w="943" w:type="dxa"/>
            <w:vMerge w:val="continue"/>
          </w:tcPr>
          <w:p>
            <w:pPr>
              <w:spacing w:line="380" w:lineRule="exact"/>
              <w:jc w:val="center"/>
              <w:rPr>
                <w:rFonts w:ascii="宋体" w:hAnsi="宋体"/>
                <w:color w:val="000000" w:themeColor="text1"/>
                <w:sz w:val="22"/>
                <w:szCs w:val="22"/>
                <w14:textFill>
                  <w14:solidFill>
                    <w14:schemeClr w14:val="tx1"/>
                  </w14:solidFill>
                </w14:textFill>
              </w:rPr>
            </w:pPr>
          </w:p>
        </w:tc>
        <w:tc>
          <w:tcPr>
            <w:tcW w:w="1364" w:type="dxa"/>
            <w:vAlign w:val="center"/>
          </w:tcPr>
          <w:p>
            <w:pPr>
              <w:spacing w:line="380" w:lineRule="exact"/>
              <w:jc w:val="center"/>
              <w:rPr>
                <w:rFonts w:ascii="宋体" w:hAnsi="宋体"/>
                <w:color w:val="000000" w:themeColor="text1"/>
                <w:sz w:val="22"/>
                <w:szCs w:val="22"/>
                <w14:textFill>
                  <w14:solidFill>
                    <w14:schemeClr w14:val="tx1"/>
                  </w14:solidFill>
                </w14:textFill>
              </w:rPr>
            </w:pPr>
          </w:p>
        </w:tc>
        <w:tc>
          <w:tcPr>
            <w:tcW w:w="2097" w:type="dxa"/>
            <w:vAlign w:val="center"/>
          </w:tcPr>
          <w:p>
            <w:pPr>
              <w:spacing w:line="380" w:lineRule="exact"/>
              <w:jc w:val="center"/>
              <w:rPr>
                <w:rFonts w:ascii="宋体" w:hAnsi="宋体"/>
                <w:color w:val="000000" w:themeColor="text1"/>
                <w:sz w:val="22"/>
                <w:szCs w:val="22"/>
                <w14:textFill>
                  <w14:solidFill>
                    <w14:schemeClr w14:val="tx1"/>
                  </w14:solidFill>
                </w14:textFill>
              </w:rPr>
            </w:pPr>
          </w:p>
        </w:tc>
        <w:tc>
          <w:tcPr>
            <w:tcW w:w="1992" w:type="dxa"/>
            <w:vAlign w:val="center"/>
          </w:tcPr>
          <w:p>
            <w:pPr>
              <w:spacing w:line="380" w:lineRule="exact"/>
              <w:jc w:val="center"/>
              <w:rPr>
                <w:rFonts w:ascii="宋体" w:hAnsi="宋体"/>
                <w:color w:val="000000" w:themeColor="text1"/>
                <w:sz w:val="22"/>
                <w:szCs w:val="22"/>
                <w14:textFill>
                  <w14:solidFill>
                    <w14:schemeClr w14:val="tx1"/>
                  </w14:solidFill>
                </w14:textFill>
              </w:rPr>
            </w:pPr>
          </w:p>
        </w:tc>
        <w:tc>
          <w:tcPr>
            <w:tcW w:w="1866" w:type="dxa"/>
            <w:vAlign w:val="center"/>
          </w:tcPr>
          <w:p>
            <w:pPr>
              <w:spacing w:line="380" w:lineRule="exact"/>
              <w:jc w:val="center"/>
              <w:rPr>
                <w:rFonts w:ascii="宋体" w:hAnsi="宋体"/>
                <w:color w:val="000000" w:themeColor="text1"/>
                <w:sz w:val="22"/>
                <w:szCs w:val="22"/>
                <w14:textFill>
                  <w14:solidFill>
                    <w14:schemeClr w14:val="tx1"/>
                  </w14:solidFill>
                </w14:textFill>
              </w:rPr>
            </w:pPr>
          </w:p>
        </w:tc>
        <w:tc>
          <w:tcPr>
            <w:tcW w:w="1592" w:type="dxa"/>
            <w:vAlign w:val="center"/>
          </w:tcPr>
          <w:p>
            <w:pPr>
              <w:spacing w:line="380" w:lineRule="exact"/>
              <w:jc w:val="center"/>
              <w:rPr>
                <w:rFonts w:ascii="宋体" w:hAnsi="宋体"/>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71" w:hRule="atLeast"/>
          <w:jc w:val="center"/>
        </w:trPr>
        <w:tc>
          <w:tcPr>
            <w:tcW w:w="943" w:type="dxa"/>
            <w:vMerge w:val="continue"/>
          </w:tcPr>
          <w:p>
            <w:pPr>
              <w:spacing w:line="380" w:lineRule="exact"/>
              <w:jc w:val="center"/>
              <w:rPr>
                <w:rFonts w:ascii="宋体" w:hAnsi="宋体"/>
                <w:color w:val="000000" w:themeColor="text1"/>
                <w:sz w:val="22"/>
                <w:szCs w:val="22"/>
                <w14:textFill>
                  <w14:solidFill>
                    <w14:schemeClr w14:val="tx1"/>
                  </w14:solidFill>
                </w14:textFill>
              </w:rPr>
            </w:pPr>
          </w:p>
        </w:tc>
        <w:tc>
          <w:tcPr>
            <w:tcW w:w="1364" w:type="dxa"/>
            <w:vAlign w:val="center"/>
          </w:tcPr>
          <w:p>
            <w:pPr>
              <w:spacing w:line="380" w:lineRule="exact"/>
              <w:jc w:val="center"/>
              <w:rPr>
                <w:rFonts w:ascii="宋体" w:hAnsi="宋体"/>
                <w:color w:val="000000" w:themeColor="text1"/>
                <w:sz w:val="22"/>
                <w:szCs w:val="22"/>
                <w14:textFill>
                  <w14:solidFill>
                    <w14:schemeClr w14:val="tx1"/>
                  </w14:solidFill>
                </w14:textFill>
              </w:rPr>
            </w:pPr>
          </w:p>
        </w:tc>
        <w:tc>
          <w:tcPr>
            <w:tcW w:w="2097" w:type="dxa"/>
            <w:vAlign w:val="center"/>
          </w:tcPr>
          <w:p>
            <w:pPr>
              <w:spacing w:line="380" w:lineRule="exact"/>
              <w:jc w:val="center"/>
              <w:rPr>
                <w:rFonts w:ascii="宋体" w:hAnsi="宋体"/>
                <w:color w:val="000000" w:themeColor="text1"/>
                <w:sz w:val="22"/>
                <w:szCs w:val="22"/>
                <w14:textFill>
                  <w14:solidFill>
                    <w14:schemeClr w14:val="tx1"/>
                  </w14:solidFill>
                </w14:textFill>
              </w:rPr>
            </w:pPr>
          </w:p>
        </w:tc>
        <w:tc>
          <w:tcPr>
            <w:tcW w:w="1992" w:type="dxa"/>
            <w:vAlign w:val="center"/>
          </w:tcPr>
          <w:p>
            <w:pPr>
              <w:spacing w:line="380" w:lineRule="exact"/>
              <w:jc w:val="center"/>
              <w:rPr>
                <w:rFonts w:ascii="宋体" w:hAnsi="宋体"/>
                <w:color w:val="000000" w:themeColor="text1"/>
                <w:sz w:val="22"/>
                <w:szCs w:val="22"/>
                <w14:textFill>
                  <w14:solidFill>
                    <w14:schemeClr w14:val="tx1"/>
                  </w14:solidFill>
                </w14:textFill>
              </w:rPr>
            </w:pPr>
          </w:p>
        </w:tc>
        <w:tc>
          <w:tcPr>
            <w:tcW w:w="1866" w:type="dxa"/>
            <w:vAlign w:val="center"/>
          </w:tcPr>
          <w:p>
            <w:pPr>
              <w:spacing w:line="380" w:lineRule="exact"/>
              <w:jc w:val="center"/>
              <w:rPr>
                <w:rFonts w:ascii="宋体" w:hAnsi="宋体"/>
                <w:color w:val="000000" w:themeColor="text1"/>
                <w:sz w:val="22"/>
                <w:szCs w:val="22"/>
                <w14:textFill>
                  <w14:solidFill>
                    <w14:schemeClr w14:val="tx1"/>
                  </w14:solidFill>
                </w14:textFill>
              </w:rPr>
            </w:pPr>
          </w:p>
        </w:tc>
        <w:tc>
          <w:tcPr>
            <w:tcW w:w="1592" w:type="dxa"/>
            <w:vAlign w:val="center"/>
          </w:tcPr>
          <w:p>
            <w:pPr>
              <w:spacing w:line="380" w:lineRule="exact"/>
              <w:jc w:val="center"/>
              <w:rPr>
                <w:rFonts w:ascii="宋体" w:hAnsi="宋体"/>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7" w:hRule="atLeast"/>
          <w:jc w:val="center"/>
        </w:trPr>
        <w:tc>
          <w:tcPr>
            <w:tcW w:w="943" w:type="dxa"/>
            <w:vMerge w:val="restart"/>
            <w:vAlign w:val="center"/>
          </w:tcPr>
          <w:p>
            <w:pPr>
              <w:spacing w:line="380" w:lineRule="exact"/>
              <w:jc w:val="center"/>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商</w:t>
            </w:r>
          </w:p>
          <w:p>
            <w:pPr>
              <w:spacing w:line="380" w:lineRule="exact"/>
              <w:jc w:val="center"/>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务</w:t>
            </w:r>
          </w:p>
          <w:p>
            <w:pPr>
              <w:spacing w:line="380" w:lineRule="exact"/>
              <w:jc w:val="center"/>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条</w:t>
            </w:r>
          </w:p>
          <w:p>
            <w:pPr>
              <w:spacing w:line="380" w:lineRule="exact"/>
              <w:jc w:val="center"/>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款</w:t>
            </w:r>
          </w:p>
        </w:tc>
        <w:tc>
          <w:tcPr>
            <w:tcW w:w="1364" w:type="dxa"/>
            <w:vAlign w:val="center"/>
          </w:tcPr>
          <w:p>
            <w:pPr>
              <w:spacing w:line="380" w:lineRule="exact"/>
              <w:jc w:val="center"/>
              <w:rPr>
                <w:rFonts w:ascii="宋体" w:hAnsi="宋体"/>
                <w:color w:val="000000" w:themeColor="text1"/>
                <w:sz w:val="22"/>
                <w:szCs w:val="22"/>
                <w14:textFill>
                  <w14:solidFill>
                    <w14:schemeClr w14:val="tx1"/>
                  </w14:solidFill>
                </w14:textFill>
              </w:rPr>
            </w:pPr>
          </w:p>
        </w:tc>
        <w:tc>
          <w:tcPr>
            <w:tcW w:w="2097" w:type="dxa"/>
            <w:vAlign w:val="center"/>
          </w:tcPr>
          <w:p>
            <w:pPr>
              <w:spacing w:line="380" w:lineRule="exact"/>
              <w:jc w:val="center"/>
              <w:rPr>
                <w:rFonts w:ascii="宋体" w:hAnsi="宋体"/>
                <w:color w:val="000000" w:themeColor="text1"/>
                <w:sz w:val="22"/>
                <w:szCs w:val="22"/>
                <w14:textFill>
                  <w14:solidFill>
                    <w14:schemeClr w14:val="tx1"/>
                  </w14:solidFill>
                </w14:textFill>
              </w:rPr>
            </w:pPr>
          </w:p>
        </w:tc>
        <w:tc>
          <w:tcPr>
            <w:tcW w:w="1992" w:type="dxa"/>
            <w:vAlign w:val="center"/>
          </w:tcPr>
          <w:p>
            <w:pPr>
              <w:spacing w:line="380" w:lineRule="exact"/>
              <w:jc w:val="center"/>
              <w:rPr>
                <w:rFonts w:ascii="宋体" w:hAnsi="宋体"/>
                <w:color w:val="000000" w:themeColor="text1"/>
                <w:sz w:val="22"/>
                <w:szCs w:val="22"/>
                <w14:textFill>
                  <w14:solidFill>
                    <w14:schemeClr w14:val="tx1"/>
                  </w14:solidFill>
                </w14:textFill>
              </w:rPr>
            </w:pPr>
          </w:p>
        </w:tc>
        <w:tc>
          <w:tcPr>
            <w:tcW w:w="1866" w:type="dxa"/>
            <w:vAlign w:val="center"/>
          </w:tcPr>
          <w:p>
            <w:pPr>
              <w:spacing w:line="380" w:lineRule="exact"/>
              <w:jc w:val="center"/>
              <w:rPr>
                <w:rFonts w:ascii="宋体" w:hAnsi="宋体"/>
                <w:color w:val="000000" w:themeColor="text1"/>
                <w:sz w:val="22"/>
                <w:szCs w:val="22"/>
                <w14:textFill>
                  <w14:solidFill>
                    <w14:schemeClr w14:val="tx1"/>
                  </w14:solidFill>
                </w14:textFill>
              </w:rPr>
            </w:pPr>
          </w:p>
        </w:tc>
        <w:tc>
          <w:tcPr>
            <w:tcW w:w="1592" w:type="dxa"/>
            <w:vAlign w:val="center"/>
          </w:tcPr>
          <w:p>
            <w:pPr>
              <w:spacing w:line="380" w:lineRule="exact"/>
              <w:jc w:val="center"/>
              <w:rPr>
                <w:rFonts w:ascii="宋体" w:hAnsi="宋体"/>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71" w:hRule="atLeast"/>
          <w:jc w:val="center"/>
        </w:trPr>
        <w:tc>
          <w:tcPr>
            <w:tcW w:w="943" w:type="dxa"/>
            <w:vMerge w:val="continue"/>
          </w:tcPr>
          <w:p>
            <w:pPr>
              <w:spacing w:line="380" w:lineRule="exact"/>
              <w:jc w:val="center"/>
              <w:rPr>
                <w:rFonts w:ascii="宋体" w:hAnsi="宋体"/>
                <w:color w:val="000000" w:themeColor="text1"/>
                <w:sz w:val="22"/>
                <w:szCs w:val="22"/>
                <w14:textFill>
                  <w14:solidFill>
                    <w14:schemeClr w14:val="tx1"/>
                  </w14:solidFill>
                </w14:textFill>
              </w:rPr>
            </w:pPr>
          </w:p>
        </w:tc>
        <w:tc>
          <w:tcPr>
            <w:tcW w:w="1364" w:type="dxa"/>
            <w:vAlign w:val="center"/>
          </w:tcPr>
          <w:p>
            <w:pPr>
              <w:spacing w:line="380" w:lineRule="exact"/>
              <w:jc w:val="center"/>
              <w:rPr>
                <w:rFonts w:ascii="宋体" w:hAnsi="宋体"/>
                <w:color w:val="000000" w:themeColor="text1"/>
                <w:sz w:val="22"/>
                <w:szCs w:val="22"/>
                <w14:textFill>
                  <w14:solidFill>
                    <w14:schemeClr w14:val="tx1"/>
                  </w14:solidFill>
                </w14:textFill>
              </w:rPr>
            </w:pPr>
          </w:p>
        </w:tc>
        <w:tc>
          <w:tcPr>
            <w:tcW w:w="2097" w:type="dxa"/>
            <w:vAlign w:val="center"/>
          </w:tcPr>
          <w:p>
            <w:pPr>
              <w:spacing w:line="380" w:lineRule="exact"/>
              <w:jc w:val="center"/>
              <w:rPr>
                <w:rFonts w:ascii="宋体" w:hAnsi="宋体"/>
                <w:color w:val="000000" w:themeColor="text1"/>
                <w:sz w:val="22"/>
                <w:szCs w:val="22"/>
                <w14:textFill>
                  <w14:solidFill>
                    <w14:schemeClr w14:val="tx1"/>
                  </w14:solidFill>
                </w14:textFill>
              </w:rPr>
            </w:pPr>
          </w:p>
        </w:tc>
        <w:tc>
          <w:tcPr>
            <w:tcW w:w="1992" w:type="dxa"/>
            <w:vAlign w:val="center"/>
          </w:tcPr>
          <w:p>
            <w:pPr>
              <w:spacing w:line="380" w:lineRule="exact"/>
              <w:jc w:val="center"/>
              <w:rPr>
                <w:rFonts w:ascii="宋体" w:hAnsi="宋体"/>
                <w:color w:val="000000" w:themeColor="text1"/>
                <w:sz w:val="22"/>
                <w:szCs w:val="22"/>
                <w14:textFill>
                  <w14:solidFill>
                    <w14:schemeClr w14:val="tx1"/>
                  </w14:solidFill>
                </w14:textFill>
              </w:rPr>
            </w:pPr>
          </w:p>
        </w:tc>
        <w:tc>
          <w:tcPr>
            <w:tcW w:w="1866" w:type="dxa"/>
            <w:vAlign w:val="center"/>
          </w:tcPr>
          <w:p>
            <w:pPr>
              <w:spacing w:line="380" w:lineRule="exact"/>
              <w:jc w:val="center"/>
              <w:rPr>
                <w:rFonts w:ascii="宋体" w:hAnsi="宋体"/>
                <w:color w:val="000000" w:themeColor="text1"/>
                <w:sz w:val="22"/>
                <w:szCs w:val="22"/>
                <w14:textFill>
                  <w14:solidFill>
                    <w14:schemeClr w14:val="tx1"/>
                  </w14:solidFill>
                </w14:textFill>
              </w:rPr>
            </w:pPr>
          </w:p>
        </w:tc>
        <w:tc>
          <w:tcPr>
            <w:tcW w:w="1592" w:type="dxa"/>
            <w:vAlign w:val="center"/>
          </w:tcPr>
          <w:p>
            <w:pPr>
              <w:spacing w:line="380" w:lineRule="exact"/>
              <w:jc w:val="center"/>
              <w:rPr>
                <w:rFonts w:ascii="宋体" w:hAnsi="宋体"/>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71" w:hRule="atLeast"/>
          <w:jc w:val="center"/>
        </w:trPr>
        <w:tc>
          <w:tcPr>
            <w:tcW w:w="943" w:type="dxa"/>
            <w:vMerge w:val="continue"/>
          </w:tcPr>
          <w:p>
            <w:pPr>
              <w:spacing w:line="380" w:lineRule="exact"/>
              <w:jc w:val="center"/>
              <w:rPr>
                <w:rFonts w:ascii="宋体" w:hAnsi="宋体"/>
                <w:color w:val="000000" w:themeColor="text1"/>
                <w:sz w:val="22"/>
                <w:szCs w:val="22"/>
                <w14:textFill>
                  <w14:solidFill>
                    <w14:schemeClr w14:val="tx1"/>
                  </w14:solidFill>
                </w14:textFill>
              </w:rPr>
            </w:pPr>
          </w:p>
        </w:tc>
        <w:tc>
          <w:tcPr>
            <w:tcW w:w="1364" w:type="dxa"/>
            <w:vAlign w:val="center"/>
          </w:tcPr>
          <w:p>
            <w:pPr>
              <w:spacing w:line="380" w:lineRule="exact"/>
              <w:jc w:val="center"/>
              <w:rPr>
                <w:rFonts w:ascii="宋体" w:hAnsi="宋体"/>
                <w:color w:val="000000" w:themeColor="text1"/>
                <w:sz w:val="22"/>
                <w:szCs w:val="22"/>
                <w14:textFill>
                  <w14:solidFill>
                    <w14:schemeClr w14:val="tx1"/>
                  </w14:solidFill>
                </w14:textFill>
              </w:rPr>
            </w:pPr>
          </w:p>
        </w:tc>
        <w:tc>
          <w:tcPr>
            <w:tcW w:w="2097" w:type="dxa"/>
            <w:vAlign w:val="center"/>
          </w:tcPr>
          <w:p>
            <w:pPr>
              <w:spacing w:line="380" w:lineRule="exact"/>
              <w:jc w:val="center"/>
              <w:rPr>
                <w:rFonts w:ascii="宋体" w:hAnsi="宋体"/>
                <w:color w:val="000000" w:themeColor="text1"/>
                <w:sz w:val="22"/>
                <w:szCs w:val="22"/>
                <w14:textFill>
                  <w14:solidFill>
                    <w14:schemeClr w14:val="tx1"/>
                  </w14:solidFill>
                </w14:textFill>
              </w:rPr>
            </w:pPr>
          </w:p>
        </w:tc>
        <w:tc>
          <w:tcPr>
            <w:tcW w:w="1992" w:type="dxa"/>
            <w:vAlign w:val="center"/>
          </w:tcPr>
          <w:p>
            <w:pPr>
              <w:spacing w:line="380" w:lineRule="exact"/>
              <w:jc w:val="center"/>
              <w:rPr>
                <w:rFonts w:ascii="宋体" w:hAnsi="宋体"/>
                <w:color w:val="000000" w:themeColor="text1"/>
                <w:sz w:val="22"/>
                <w:szCs w:val="22"/>
                <w14:textFill>
                  <w14:solidFill>
                    <w14:schemeClr w14:val="tx1"/>
                  </w14:solidFill>
                </w14:textFill>
              </w:rPr>
            </w:pPr>
          </w:p>
        </w:tc>
        <w:tc>
          <w:tcPr>
            <w:tcW w:w="1866" w:type="dxa"/>
            <w:vAlign w:val="center"/>
          </w:tcPr>
          <w:p>
            <w:pPr>
              <w:spacing w:line="380" w:lineRule="exact"/>
              <w:jc w:val="center"/>
              <w:rPr>
                <w:rFonts w:ascii="宋体" w:hAnsi="宋体"/>
                <w:color w:val="000000" w:themeColor="text1"/>
                <w:sz w:val="22"/>
                <w:szCs w:val="22"/>
                <w14:textFill>
                  <w14:solidFill>
                    <w14:schemeClr w14:val="tx1"/>
                  </w14:solidFill>
                </w14:textFill>
              </w:rPr>
            </w:pPr>
          </w:p>
        </w:tc>
        <w:tc>
          <w:tcPr>
            <w:tcW w:w="1592" w:type="dxa"/>
            <w:vAlign w:val="center"/>
          </w:tcPr>
          <w:p>
            <w:pPr>
              <w:spacing w:line="380" w:lineRule="exact"/>
              <w:jc w:val="center"/>
              <w:rPr>
                <w:rFonts w:ascii="宋体" w:hAnsi="宋体"/>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71" w:hRule="atLeast"/>
          <w:jc w:val="center"/>
        </w:trPr>
        <w:tc>
          <w:tcPr>
            <w:tcW w:w="943" w:type="dxa"/>
            <w:vMerge w:val="continue"/>
          </w:tcPr>
          <w:p>
            <w:pPr>
              <w:spacing w:line="380" w:lineRule="exact"/>
              <w:jc w:val="center"/>
              <w:rPr>
                <w:rFonts w:ascii="宋体" w:hAnsi="宋体"/>
                <w:color w:val="000000" w:themeColor="text1"/>
                <w:sz w:val="22"/>
                <w:szCs w:val="22"/>
                <w14:textFill>
                  <w14:solidFill>
                    <w14:schemeClr w14:val="tx1"/>
                  </w14:solidFill>
                </w14:textFill>
              </w:rPr>
            </w:pPr>
          </w:p>
        </w:tc>
        <w:tc>
          <w:tcPr>
            <w:tcW w:w="1364" w:type="dxa"/>
            <w:vAlign w:val="center"/>
          </w:tcPr>
          <w:p>
            <w:pPr>
              <w:spacing w:line="380" w:lineRule="exact"/>
              <w:jc w:val="center"/>
              <w:rPr>
                <w:rFonts w:ascii="宋体" w:hAnsi="宋体"/>
                <w:color w:val="000000" w:themeColor="text1"/>
                <w:sz w:val="22"/>
                <w:szCs w:val="22"/>
                <w14:textFill>
                  <w14:solidFill>
                    <w14:schemeClr w14:val="tx1"/>
                  </w14:solidFill>
                </w14:textFill>
              </w:rPr>
            </w:pPr>
          </w:p>
        </w:tc>
        <w:tc>
          <w:tcPr>
            <w:tcW w:w="2097" w:type="dxa"/>
            <w:vAlign w:val="center"/>
          </w:tcPr>
          <w:p>
            <w:pPr>
              <w:spacing w:line="380" w:lineRule="exact"/>
              <w:jc w:val="center"/>
              <w:rPr>
                <w:rFonts w:ascii="宋体" w:hAnsi="宋体"/>
                <w:color w:val="000000" w:themeColor="text1"/>
                <w:sz w:val="22"/>
                <w:szCs w:val="22"/>
                <w14:textFill>
                  <w14:solidFill>
                    <w14:schemeClr w14:val="tx1"/>
                  </w14:solidFill>
                </w14:textFill>
              </w:rPr>
            </w:pPr>
          </w:p>
        </w:tc>
        <w:tc>
          <w:tcPr>
            <w:tcW w:w="1992" w:type="dxa"/>
            <w:vAlign w:val="center"/>
          </w:tcPr>
          <w:p>
            <w:pPr>
              <w:spacing w:line="380" w:lineRule="exact"/>
              <w:jc w:val="center"/>
              <w:rPr>
                <w:rFonts w:ascii="宋体" w:hAnsi="宋体"/>
                <w:color w:val="000000" w:themeColor="text1"/>
                <w:sz w:val="22"/>
                <w:szCs w:val="22"/>
                <w14:textFill>
                  <w14:solidFill>
                    <w14:schemeClr w14:val="tx1"/>
                  </w14:solidFill>
                </w14:textFill>
              </w:rPr>
            </w:pPr>
          </w:p>
        </w:tc>
        <w:tc>
          <w:tcPr>
            <w:tcW w:w="1866" w:type="dxa"/>
            <w:vAlign w:val="center"/>
          </w:tcPr>
          <w:p>
            <w:pPr>
              <w:spacing w:line="380" w:lineRule="exact"/>
              <w:jc w:val="center"/>
              <w:rPr>
                <w:rFonts w:ascii="宋体" w:hAnsi="宋体"/>
                <w:color w:val="000000" w:themeColor="text1"/>
                <w:sz w:val="22"/>
                <w:szCs w:val="22"/>
                <w14:textFill>
                  <w14:solidFill>
                    <w14:schemeClr w14:val="tx1"/>
                  </w14:solidFill>
                </w14:textFill>
              </w:rPr>
            </w:pPr>
          </w:p>
        </w:tc>
        <w:tc>
          <w:tcPr>
            <w:tcW w:w="1592" w:type="dxa"/>
            <w:vAlign w:val="center"/>
          </w:tcPr>
          <w:p>
            <w:pPr>
              <w:spacing w:line="380" w:lineRule="exact"/>
              <w:jc w:val="center"/>
              <w:rPr>
                <w:rFonts w:ascii="宋体" w:hAnsi="宋体"/>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71" w:hRule="atLeast"/>
          <w:jc w:val="center"/>
        </w:trPr>
        <w:tc>
          <w:tcPr>
            <w:tcW w:w="943" w:type="dxa"/>
            <w:vMerge w:val="continue"/>
          </w:tcPr>
          <w:p>
            <w:pPr>
              <w:spacing w:line="380" w:lineRule="exact"/>
              <w:jc w:val="center"/>
              <w:rPr>
                <w:rFonts w:ascii="宋体" w:hAnsi="宋体"/>
                <w:color w:val="000000" w:themeColor="text1"/>
                <w:sz w:val="22"/>
                <w:szCs w:val="22"/>
                <w14:textFill>
                  <w14:solidFill>
                    <w14:schemeClr w14:val="tx1"/>
                  </w14:solidFill>
                </w14:textFill>
              </w:rPr>
            </w:pPr>
          </w:p>
        </w:tc>
        <w:tc>
          <w:tcPr>
            <w:tcW w:w="1364" w:type="dxa"/>
            <w:vAlign w:val="center"/>
          </w:tcPr>
          <w:p>
            <w:pPr>
              <w:spacing w:line="380" w:lineRule="exact"/>
              <w:jc w:val="center"/>
              <w:rPr>
                <w:rFonts w:ascii="宋体" w:hAnsi="宋体"/>
                <w:color w:val="000000" w:themeColor="text1"/>
                <w:sz w:val="22"/>
                <w:szCs w:val="22"/>
                <w14:textFill>
                  <w14:solidFill>
                    <w14:schemeClr w14:val="tx1"/>
                  </w14:solidFill>
                </w14:textFill>
              </w:rPr>
            </w:pPr>
          </w:p>
        </w:tc>
        <w:tc>
          <w:tcPr>
            <w:tcW w:w="2097" w:type="dxa"/>
            <w:vAlign w:val="center"/>
          </w:tcPr>
          <w:p>
            <w:pPr>
              <w:spacing w:line="380" w:lineRule="exact"/>
              <w:jc w:val="center"/>
              <w:rPr>
                <w:rFonts w:ascii="宋体" w:hAnsi="宋体"/>
                <w:color w:val="000000" w:themeColor="text1"/>
                <w:sz w:val="22"/>
                <w:szCs w:val="22"/>
                <w14:textFill>
                  <w14:solidFill>
                    <w14:schemeClr w14:val="tx1"/>
                  </w14:solidFill>
                </w14:textFill>
              </w:rPr>
            </w:pPr>
          </w:p>
        </w:tc>
        <w:tc>
          <w:tcPr>
            <w:tcW w:w="1992" w:type="dxa"/>
            <w:vAlign w:val="center"/>
          </w:tcPr>
          <w:p>
            <w:pPr>
              <w:spacing w:line="380" w:lineRule="exact"/>
              <w:jc w:val="center"/>
              <w:rPr>
                <w:rFonts w:ascii="宋体" w:hAnsi="宋体"/>
                <w:color w:val="000000" w:themeColor="text1"/>
                <w:sz w:val="22"/>
                <w:szCs w:val="22"/>
                <w14:textFill>
                  <w14:solidFill>
                    <w14:schemeClr w14:val="tx1"/>
                  </w14:solidFill>
                </w14:textFill>
              </w:rPr>
            </w:pPr>
          </w:p>
        </w:tc>
        <w:tc>
          <w:tcPr>
            <w:tcW w:w="1866" w:type="dxa"/>
            <w:vAlign w:val="center"/>
          </w:tcPr>
          <w:p>
            <w:pPr>
              <w:spacing w:line="380" w:lineRule="exact"/>
              <w:jc w:val="center"/>
              <w:rPr>
                <w:rFonts w:ascii="宋体" w:hAnsi="宋体"/>
                <w:color w:val="000000" w:themeColor="text1"/>
                <w:sz w:val="22"/>
                <w:szCs w:val="22"/>
                <w14:textFill>
                  <w14:solidFill>
                    <w14:schemeClr w14:val="tx1"/>
                  </w14:solidFill>
                </w14:textFill>
              </w:rPr>
            </w:pPr>
          </w:p>
        </w:tc>
        <w:tc>
          <w:tcPr>
            <w:tcW w:w="1592" w:type="dxa"/>
            <w:vAlign w:val="center"/>
          </w:tcPr>
          <w:p>
            <w:pPr>
              <w:spacing w:line="380" w:lineRule="exact"/>
              <w:jc w:val="center"/>
              <w:rPr>
                <w:rFonts w:ascii="宋体" w:hAnsi="宋体"/>
                <w:color w:val="000000" w:themeColor="text1"/>
                <w:sz w:val="22"/>
                <w:szCs w:val="22"/>
                <w14:textFill>
                  <w14:solidFill>
                    <w14:schemeClr w14:val="tx1"/>
                  </w14:solidFill>
                </w14:textFill>
              </w:rPr>
            </w:pPr>
          </w:p>
        </w:tc>
      </w:tr>
    </w:tbl>
    <w:p>
      <w:pPr>
        <w:spacing w:line="380" w:lineRule="exact"/>
        <w:rPr>
          <w:rFonts w:ascii="宋体" w:hAnsi="宋体"/>
          <w:b/>
          <w:color w:val="000000" w:themeColor="text1"/>
          <w:sz w:val="22"/>
          <w:szCs w:val="22"/>
          <w14:textFill>
            <w14:solidFill>
              <w14:schemeClr w14:val="tx1"/>
            </w14:solidFill>
          </w14:textFill>
        </w:rPr>
      </w:pPr>
      <w:r>
        <w:rPr>
          <w:rFonts w:hint="eastAsia" w:ascii="宋体" w:hAnsi="宋体"/>
          <w:b/>
          <w:color w:val="000000" w:themeColor="text1"/>
          <w:sz w:val="22"/>
          <w:szCs w:val="22"/>
          <w14:textFill>
            <w14:solidFill>
              <w14:schemeClr w14:val="tx1"/>
            </w14:solidFill>
          </w14:textFill>
        </w:rPr>
        <w:t>注：</w:t>
      </w:r>
      <w:r>
        <w:rPr>
          <w:rFonts w:hint="eastAsia" w:ascii="宋体" w:hAnsi="宋体"/>
          <w:b/>
          <w:color w:val="000000" w:themeColor="text1"/>
          <w14:textFill>
            <w14:solidFill>
              <w14:schemeClr w14:val="tx1"/>
            </w14:solidFill>
          </w14:textFill>
        </w:rPr>
        <w:t>不填写此表视为完全响应招标文件内容。</w:t>
      </w:r>
    </w:p>
    <w:p>
      <w:pPr>
        <w:spacing w:line="380" w:lineRule="exact"/>
        <w:ind w:firstLine="4417" w:firstLineChars="2000"/>
        <w:rPr>
          <w:rFonts w:ascii="宋体" w:hAnsi="宋体"/>
          <w:b/>
          <w:color w:val="000000" w:themeColor="text1"/>
          <w:sz w:val="22"/>
          <w:szCs w:val="22"/>
          <w14:textFill>
            <w14:solidFill>
              <w14:schemeClr w14:val="tx1"/>
            </w14:solidFill>
          </w14:textFill>
        </w:rPr>
      </w:pPr>
    </w:p>
    <w:p>
      <w:pPr>
        <w:spacing w:line="380" w:lineRule="exact"/>
        <w:ind w:firstLine="4400" w:firstLineChars="2000"/>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投标人全称（盖章）：</w:t>
      </w:r>
    </w:p>
    <w:p>
      <w:pPr>
        <w:spacing w:line="380" w:lineRule="exact"/>
        <w:ind w:firstLine="4400" w:firstLineChars="2000"/>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法定代表人或授权代表（签字或盖章）：</w:t>
      </w:r>
    </w:p>
    <w:p>
      <w:pPr>
        <w:spacing w:line="380" w:lineRule="exact"/>
        <w:ind w:firstLine="4400" w:firstLineChars="2000"/>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日期：  年   月  日</w:t>
      </w:r>
    </w:p>
    <w:p>
      <w:pPr>
        <w:spacing w:line="380" w:lineRule="exact"/>
        <w:rPr>
          <w:rFonts w:ascii="宋体" w:hAnsi="宋体"/>
          <w:b/>
          <w:bCs/>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br w:type="page"/>
      </w:r>
      <w:r>
        <w:rPr>
          <w:rFonts w:hint="eastAsia" w:ascii="宋体" w:hAnsi="宋体"/>
          <w:b/>
          <w:bCs/>
          <w:color w:val="000000" w:themeColor="text1"/>
          <w:sz w:val="22"/>
          <w:szCs w:val="22"/>
          <w14:textFill>
            <w14:solidFill>
              <w14:schemeClr w14:val="tx1"/>
            </w14:solidFill>
          </w14:textFill>
        </w:rPr>
        <w:t>附件五</w:t>
      </w:r>
    </w:p>
    <w:p>
      <w:pPr>
        <w:spacing w:line="460" w:lineRule="exact"/>
        <w:jc w:val="center"/>
        <w:rPr>
          <w:rFonts w:ascii="宋体" w:hAnsi="宋体"/>
          <w:color w:val="000000" w:themeColor="text1"/>
          <w:sz w:val="28"/>
          <w:szCs w:val="28"/>
          <w14:textFill>
            <w14:solidFill>
              <w14:schemeClr w14:val="tx1"/>
            </w14:solidFill>
          </w14:textFill>
        </w:rPr>
      </w:pPr>
      <w:r>
        <w:rPr>
          <w:rFonts w:hint="eastAsia" w:ascii="宋体" w:hAnsi="宋体"/>
          <w:b/>
          <w:bCs/>
          <w:color w:val="000000" w:themeColor="text1"/>
          <w:sz w:val="28"/>
          <w:szCs w:val="28"/>
          <w14:textFill>
            <w14:solidFill>
              <w14:schemeClr w14:val="tx1"/>
            </w14:solidFill>
          </w14:textFill>
        </w:rPr>
        <w:t>资格证明文件</w:t>
      </w:r>
    </w:p>
    <w:p>
      <w:pPr>
        <w:spacing w:line="400" w:lineRule="exact"/>
        <w:jc w:val="center"/>
        <w:rPr>
          <w:rFonts w:ascii="宋体" w:hAnsi="宋体"/>
          <w:b/>
          <w:color w:val="000000" w:themeColor="text1"/>
          <w:sz w:val="22"/>
          <w14:textFill>
            <w14:solidFill>
              <w14:schemeClr w14:val="tx1"/>
            </w14:solidFill>
          </w14:textFill>
        </w:rPr>
      </w:pPr>
      <w:r>
        <w:rPr>
          <w:rFonts w:hint="eastAsia" w:ascii="宋体" w:hAnsi="宋体"/>
          <w:b/>
          <w:color w:val="000000" w:themeColor="text1"/>
          <w:sz w:val="22"/>
          <w14:textFill>
            <w14:solidFill>
              <w14:schemeClr w14:val="tx1"/>
            </w14:solidFill>
          </w14:textFill>
        </w:rPr>
        <w:t>(1)法定代表人授权书</w:t>
      </w:r>
    </w:p>
    <w:p>
      <w:pPr>
        <w:spacing w:line="420" w:lineRule="exact"/>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lang w:eastAsia="zh-CN"/>
          <w14:textFill>
            <w14:solidFill>
              <w14:schemeClr w14:val="tx1"/>
            </w14:solidFill>
          </w14:textFill>
        </w:rPr>
        <w:t>温州金丽温高速公路东延线有限公司</w:t>
      </w:r>
      <w:r>
        <w:rPr>
          <w:rFonts w:hint="eastAsia" w:ascii="宋体" w:hAnsi="宋体"/>
          <w:color w:val="000000" w:themeColor="text1"/>
          <w:sz w:val="22"/>
          <w:szCs w:val="22"/>
          <w14:textFill>
            <w14:solidFill>
              <w14:schemeClr w14:val="tx1"/>
            </w14:solidFill>
          </w14:textFill>
        </w:rPr>
        <w:t>:</w:t>
      </w:r>
    </w:p>
    <w:p>
      <w:pPr>
        <w:spacing w:line="420" w:lineRule="exact"/>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浙江鸿银项目管理有限公司：</w:t>
      </w:r>
    </w:p>
    <w:p>
      <w:pPr>
        <w:spacing w:line="460" w:lineRule="exact"/>
        <w:rPr>
          <w:rFonts w:ascii="宋体" w:hAnsi="宋体"/>
          <w:color w:val="000000" w:themeColor="text1"/>
          <w:sz w:val="22"/>
          <w:szCs w:val="22"/>
          <w:u w:val="single"/>
          <w14:textFill>
            <w14:solidFill>
              <w14:schemeClr w14:val="tx1"/>
            </w14:solidFill>
          </w14:textFill>
        </w:rPr>
      </w:pPr>
    </w:p>
    <w:p>
      <w:pPr>
        <w:spacing w:line="460" w:lineRule="exact"/>
        <w:ind w:firstLine="550" w:firstLineChars="250"/>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（投标人全称）法定代表人授权（全权代表姓名）为全权代表，参加贵处组织的</w:t>
      </w:r>
      <w:r>
        <w:rPr>
          <w:rFonts w:hint="eastAsia" w:ascii="宋体" w:hAnsi="宋体"/>
          <w:color w:val="000000" w:themeColor="text1"/>
          <w:sz w:val="22"/>
          <w:szCs w:val="22"/>
          <w:u w:val="single"/>
          <w14:textFill>
            <w14:solidFill>
              <w14:schemeClr w14:val="tx1"/>
            </w14:solidFill>
          </w14:textFill>
        </w:rPr>
        <w:t>（招标项目名称、编号）</w:t>
      </w:r>
      <w:r>
        <w:rPr>
          <w:rFonts w:hint="eastAsia" w:ascii="宋体" w:hAnsi="宋体"/>
          <w:color w:val="000000" w:themeColor="text1"/>
          <w:sz w:val="22"/>
          <w:szCs w:val="22"/>
          <w14:textFill>
            <w14:solidFill>
              <w14:schemeClr w14:val="tx1"/>
            </w14:solidFill>
          </w14:textFill>
        </w:rPr>
        <w:t>的招标活动，全权代表我方处理招标活动中的一切事宜。</w:t>
      </w:r>
    </w:p>
    <w:p>
      <w:pPr>
        <w:spacing w:line="460" w:lineRule="exact"/>
        <w:ind w:firstLine="2955"/>
        <w:rPr>
          <w:rFonts w:ascii="宋体" w:hAnsi="宋体"/>
          <w:color w:val="000000" w:themeColor="text1"/>
          <w:sz w:val="22"/>
          <w:szCs w:val="22"/>
          <w14:textFill>
            <w14:solidFill>
              <w14:schemeClr w14:val="tx1"/>
            </w14:solidFill>
          </w14:textFill>
        </w:rPr>
      </w:pPr>
    </w:p>
    <w:p>
      <w:pPr>
        <w:spacing w:line="460" w:lineRule="exact"/>
        <w:ind w:firstLine="2955"/>
        <w:rPr>
          <w:rFonts w:ascii="宋体" w:hAnsi="宋体"/>
          <w:color w:val="000000" w:themeColor="text1"/>
          <w:sz w:val="22"/>
          <w:szCs w:val="22"/>
          <w14:textFill>
            <w14:solidFill>
              <w14:schemeClr w14:val="tx1"/>
            </w14:solidFill>
          </w14:textFill>
        </w:rPr>
      </w:pPr>
    </w:p>
    <w:p>
      <w:pPr>
        <w:spacing w:line="460" w:lineRule="exact"/>
        <w:ind w:firstLine="3971" w:firstLineChars="1805"/>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法定代表人 (签字)：</w:t>
      </w:r>
    </w:p>
    <w:p>
      <w:pPr>
        <w:spacing w:line="460" w:lineRule="exact"/>
        <w:ind w:firstLine="2955"/>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 xml:space="preserve">         投标人全称（公章）：</w:t>
      </w:r>
    </w:p>
    <w:p>
      <w:pPr>
        <w:spacing w:line="460" w:lineRule="exact"/>
        <w:ind w:firstLine="2955"/>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 xml:space="preserve">         日期：     年    月   日</w:t>
      </w:r>
    </w:p>
    <w:p>
      <w:pPr>
        <w:spacing w:line="460" w:lineRule="exact"/>
        <w:rPr>
          <w:rFonts w:ascii="宋体" w:hAnsi="宋体"/>
          <w:color w:val="000000" w:themeColor="text1"/>
          <w:sz w:val="22"/>
          <w:szCs w:val="22"/>
          <w14:textFill>
            <w14:solidFill>
              <w14:schemeClr w14:val="tx1"/>
            </w14:solidFill>
          </w14:textFill>
        </w:rPr>
      </w:pPr>
    </w:p>
    <w:p>
      <w:pPr>
        <w:spacing w:line="460" w:lineRule="exact"/>
        <w:rPr>
          <w:rFonts w:ascii="宋体" w:hAnsi="宋体"/>
          <w:color w:val="000000" w:themeColor="text1"/>
          <w:sz w:val="22"/>
          <w:szCs w:val="22"/>
          <w14:textFill>
            <w14:solidFill>
              <w14:schemeClr w14:val="tx1"/>
            </w14:solidFill>
          </w14:textFill>
        </w:rPr>
      </w:pPr>
    </w:p>
    <w:p>
      <w:pPr>
        <w:spacing w:line="460" w:lineRule="exact"/>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附：</w:t>
      </w:r>
    </w:p>
    <w:p>
      <w:pPr>
        <w:spacing w:line="460" w:lineRule="exact"/>
        <w:ind w:firstLine="220" w:firstLineChars="100"/>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授权代表姓名：</w:t>
      </w:r>
    </w:p>
    <w:p>
      <w:pPr>
        <w:spacing w:line="460" w:lineRule="exact"/>
        <w:ind w:firstLine="220" w:firstLineChars="100"/>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职务：</w:t>
      </w:r>
    </w:p>
    <w:p>
      <w:pPr>
        <w:spacing w:line="460" w:lineRule="exact"/>
        <w:ind w:firstLine="220" w:firstLineChars="100"/>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详细通讯地址：</w:t>
      </w:r>
    </w:p>
    <w:p>
      <w:pPr>
        <w:spacing w:line="460" w:lineRule="exact"/>
        <w:ind w:firstLine="220" w:firstLineChars="100"/>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电话：</w:t>
      </w:r>
    </w:p>
    <w:p>
      <w:pPr>
        <w:spacing w:line="460" w:lineRule="exact"/>
        <w:ind w:firstLine="220" w:firstLineChars="100"/>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传真：</w:t>
      </w:r>
    </w:p>
    <w:p>
      <w:pPr>
        <w:spacing w:line="460" w:lineRule="exact"/>
        <w:ind w:firstLine="220" w:firstLineChars="100"/>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邮政编码:</w:t>
      </w:r>
    </w:p>
    <w:p>
      <w:pPr>
        <w:spacing w:line="460" w:lineRule="exact"/>
        <w:rPr>
          <w:rFonts w:ascii="宋体" w:hAnsi="宋体"/>
          <w:b/>
          <w:bCs/>
          <w:color w:val="000000" w:themeColor="text1"/>
          <w:sz w:val="22"/>
          <w:szCs w:val="22"/>
          <w14:textFill>
            <w14:solidFill>
              <w14:schemeClr w14:val="tx1"/>
            </w14:solidFill>
          </w14:textFill>
        </w:rPr>
      </w:pPr>
    </w:p>
    <w:tbl>
      <w:tblPr>
        <w:tblStyle w:val="30"/>
        <w:tblW w:w="4280" w:type="dxa"/>
        <w:tblInd w:w="42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17" w:hRule="atLeast"/>
        </w:trPr>
        <w:tc>
          <w:tcPr>
            <w:tcW w:w="4280" w:type="dxa"/>
            <w:vAlign w:val="center"/>
          </w:tcPr>
          <w:p>
            <w:pPr>
              <w:spacing w:line="380" w:lineRule="exact"/>
              <w:jc w:val="center"/>
              <w:rPr>
                <w:rFonts w:ascii="宋体" w:hAnsi="宋体"/>
                <w:b/>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投标人代表身份证复印件</w:t>
            </w:r>
          </w:p>
          <w:p>
            <w:pPr>
              <w:spacing w:line="380" w:lineRule="exact"/>
              <w:jc w:val="center"/>
              <w:rPr>
                <w:rFonts w:ascii="宋体" w:hAnsi="宋体"/>
                <w:b/>
                <w:bCs/>
                <w:color w:val="000000" w:themeColor="text1"/>
                <w:sz w:val="28"/>
                <w14:textFill>
                  <w14:solidFill>
                    <w14:schemeClr w14:val="tx1"/>
                  </w14:solidFill>
                </w14:textFill>
              </w:rPr>
            </w:pPr>
          </w:p>
        </w:tc>
      </w:tr>
    </w:tbl>
    <w:p>
      <w:pPr>
        <w:spacing w:line="400" w:lineRule="exact"/>
        <w:ind w:firstLine="141" w:firstLineChars="64"/>
        <w:rPr>
          <w:rFonts w:ascii="宋体" w:hAnsi="宋体"/>
          <w:b/>
          <w:color w:val="000000" w:themeColor="text1"/>
          <w:sz w:val="22"/>
          <w14:textFill>
            <w14:solidFill>
              <w14:schemeClr w14:val="tx1"/>
            </w14:solidFill>
          </w14:textFill>
        </w:rPr>
      </w:pPr>
    </w:p>
    <w:p>
      <w:pPr>
        <w:spacing w:line="400" w:lineRule="exact"/>
        <w:rPr>
          <w:rFonts w:ascii="宋体" w:hAnsi="宋体" w:cs="Arial"/>
          <w:b/>
          <w:bCs/>
          <w:color w:val="000000" w:themeColor="text1"/>
          <w:sz w:val="22"/>
          <w:szCs w:val="22"/>
          <w14:textFill>
            <w14:solidFill>
              <w14:schemeClr w14:val="tx1"/>
            </w14:solidFill>
          </w14:textFill>
        </w:rPr>
      </w:pPr>
      <w:r>
        <w:rPr>
          <w:rFonts w:hint="eastAsia" w:ascii="宋体" w:hAnsi="宋体"/>
          <w:b/>
          <w:color w:val="000000" w:themeColor="text1"/>
          <w:sz w:val="22"/>
          <w14:textFill>
            <w14:solidFill>
              <w14:schemeClr w14:val="tx1"/>
            </w14:solidFill>
          </w14:textFill>
        </w:rPr>
        <w:br w:type="page"/>
      </w:r>
      <w:r>
        <w:rPr>
          <w:rFonts w:hint="eastAsia" w:ascii="宋体" w:hAnsi="宋体"/>
          <w:b/>
          <w:color w:val="000000" w:themeColor="text1"/>
          <w:sz w:val="22"/>
          <w14:textFill>
            <w14:solidFill>
              <w14:schemeClr w14:val="tx1"/>
            </w14:solidFill>
          </w14:textFill>
        </w:rPr>
        <w:t>(2)</w:t>
      </w:r>
      <w:r>
        <w:rPr>
          <w:rFonts w:hint="eastAsia" w:ascii="宋体" w:hAnsi="宋体" w:cs="Arial"/>
          <w:b/>
          <w:bCs/>
          <w:color w:val="000000" w:themeColor="text1"/>
          <w:sz w:val="22"/>
          <w:szCs w:val="22"/>
          <w14:textFill>
            <w14:solidFill>
              <w14:schemeClr w14:val="tx1"/>
            </w14:solidFill>
          </w14:textFill>
        </w:rPr>
        <w:t>营业执照及税务登记证（复印件，加盖公章）</w:t>
      </w:r>
    </w:p>
    <w:p>
      <w:pPr>
        <w:spacing w:line="400" w:lineRule="exact"/>
        <w:rPr>
          <w:rFonts w:ascii="宋体" w:hAnsi="宋体" w:cs="Arial"/>
          <w:b/>
          <w:bCs/>
          <w:color w:val="000000" w:themeColor="text1"/>
          <w:sz w:val="22"/>
          <w:szCs w:val="22"/>
          <w14:textFill>
            <w14:solidFill>
              <w14:schemeClr w14:val="tx1"/>
            </w14:solidFill>
          </w14:textFill>
        </w:rPr>
      </w:pPr>
    </w:p>
    <w:p>
      <w:pPr>
        <w:spacing w:line="400" w:lineRule="exact"/>
        <w:rPr>
          <w:rFonts w:ascii="宋体" w:hAnsi="宋体" w:cs="Arial"/>
          <w:b/>
          <w:bCs/>
          <w:color w:val="000000" w:themeColor="text1"/>
          <w:sz w:val="22"/>
          <w:szCs w:val="22"/>
          <w14:textFill>
            <w14:solidFill>
              <w14:schemeClr w14:val="tx1"/>
            </w14:solidFill>
          </w14:textFill>
        </w:rPr>
      </w:pPr>
    </w:p>
    <w:p>
      <w:pPr>
        <w:spacing w:line="400" w:lineRule="exact"/>
        <w:rPr>
          <w:rFonts w:ascii="宋体" w:hAnsi="宋体" w:cs="Arial"/>
          <w:b/>
          <w:color w:val="000000" w:themeColor="text1"/>
          <w:sz w:val="22"/>
          <w:szCs w:val="22"/>
          <w14:textFill>
            <w14:solidFill>
              <w14:schemeClr w14:val="tx1"/>
            </w14:solidFill>
          </w14:textFill>
        </w:rPr>
      </w:pPr>
    </w:p>
    <w:p>
      <w:pPr>
        <w:spacing w:line="380" w:lineRule="exact"/>
        <w:rPr>
          <w:rFonts w:ascii="宋体" w:hAnsi="宋体"/>
          <w:b/>
          <w:color w:val="000000" w:themeColor="text1"/>
          <w:sz w:val="22"/>
          <w14:textFill>
            <w14:solidFill>
              <w14:schemeClr w14:val="tx1"/>
            </w14:solidFill>
          </w14:textFill>
        </w:rPr>
      </w:pPr>
    </w:p>
    <w:p>
      <w:pPr>
        <w:spacing w:line="380" w:lineRule="exact"/>
        <w:rPr>
          <w:rFonts w:ascii="宋体" w:hAnsi="宋体"/>
          <w:b/>
          <w:color w:val="000000" w:themeColor="text1"/>
          <w:sz w:val="22"/>
          <w14:textFill>
            <w14:solidFill>
              <w14:schemeClr w14:val="tx1"/>
            </w14:solidFill>
          </w14:textFill>
        </w:rPr>
      </w:pPr>
    </w:p>
    <w:p>
      <w:pPr>
        <w:spacing w:line="380" w:lineRule="exact"/>
        <w:rPr>
          <w:rFonts w:ascii="宋体" w:hAnsi="宋体"/>
          <w:b/>
          <w:color w:val="000000" w:themeColor="text1"/>
          <w:sz w:val="22"/>
          <w14:textFill>
            <w14:solidFill>
              <w14:schemeClr w14:val="tx1"/>
            </w14:solidFill>
          </w14:textFill>
        </w:rPr>
      </w:pPr>
    </w:p>
    <w:p>
      <w:pPr>
        <w:spacing w:line="380" w:lineRule="exact"/>
        <w:rPr>
          <w:rFonts w:ascii="宋体" w:hAnsi="宋体"/>
          <w:b/>
          <w:color w:val="000000" w:themeColor="text1"/>
          <w:sz w:val="22"/>
          <w14:textFill>
            <w14:solidFill>
              <w14:schemeClr w14:val="tx1"/>
            </w14:solidFill>
          </w14:textFill>
        </w:rPr>
      </w:pPr>
    </w:p>
    <w:p>
      <w:pPr>
        <w:spacing w:line="380" w:lineRule="exact"/>
        <w:rPr>
          <w:rFonts w:ascii="宋体" w:hAnsi="宋体"/>
          <w:b/>
          <w:color w:val="000000" w:themeColor="text1"/>
          <w:sz w:val="22"/>
          <w14:textFill>
            <w14:solidFill>
              <w14:schemeClr w14:val="tx1"/>
            </w14:solidFill>
          </w14:textFill>
        </w:rPr>
      </w:pPr>
    </w:p>
    <w:p>
      <w:pPr>
        <w:spacing w:line="380" w:lineRule="exact"/>
        <w:rPr>
          <w:rFonts w:ascii="宋体" w:hAnsi="宋体"/>
          <w:b/>
          <w:color w:val="000000" w:themeColor="text1"/>
          <w:sz w:val="22"/>
          <w14:textFill>
            <w14:solidFill>
              <w14:schemeClr w14:val="tx1"/>
            </w14:solidFill>
          </w14:textFill>
        </w:rPr>
      </w:pPr>
    </w:p>
    <w:p>
      <w:pPr>
        <w:spacing w:line="380" w:lineRule="exact"/>
        <w:rPr>
          <w:rFonts w:ascii="宋体" w:hAnsi="宋体"/>
          <w:b/>
          <w:color w:val="000000" w:themeColor="text1"/>
          <w:sz w:val="22"/>
          <w14:textFill>
            <w14:solidFill>
              <w14:schemeClr w14:val="tx1"/>
            </w14:solidFill>
          </w14:textFill>
        </w:rPr>
      </w:pPr>
    </w:p>
    <w:p>
      <w:pPr>
        <w:spacing w:line="380" w:lineRule="exact"/>
        <w:rPr>
          <w:rFonts w:ascii="宋体" w:hAnsi="宋体"/>
          <w:b/>
          <w:color w:val="000000" w:themeColor="text1"/>
          <w:sz w:val="22"/>
          <w14:textFill>
            <w14:solidFill>
              <w14:schemeClr w14:val="tx1"/>
            </w14:solidFill>
          </w14:textFill>
        </w:rPr>
      </w:pPr>
    </w:p>
    <w:p>
      <w:pPr>
        <w:spacing w:line="380" w:lineRule="exact"/>
        <w:rPr>
          <w:rFonts w:ascii="宋体" w:hAnsi="宋体"/>
          <w:b/>
          <w:color w:val="000000" w:themeColor="text1"/>
          <w:sz w:val="22"/>
          <w14:textFill>
            <w14:solidFill>
              <w14:schemeClr w14:val="tx1"/>
            </w14:solidFill>
          </w14:textFill>
        </w:rPr>
      </w:pPr>
    </w:p>
    <w:p>
      <w:pPr>
        <w:spacing w:line="380" w:lineRule="exact"/>
        <w:rPr>
          <w:rFonts w:ascii="宋体" w:hAnsi="宋体"/>
          <w:b/>
          <w:color w:val="000000" w:themeColor="text1"/>
          <w:sz w:val="22"/>
          <w14:textFill>
            <w14:solidFill>
              <w14:schemeClr w14:val="tx1"/>
            </w14:solidFill>
          </w14:textFill>
        </w:rPr>
      </w:pPr>
    </w:p>
    <w:p>
      <w:pPr>
        <w:spacing w:line="380" w:lineRule="exact"/>
        <w:rPr>
          <w:rFonts w:ascii="宋体" w:hAnsi="宋体"/>
          <w:b/>
          <w:color w:val="000000" w:themeColor="text1"/>
          <w:sz w:val="22"/>
          <w14:textFill>
            <w14:solidFill>
              <w14:schemeClr w14:val="tx1"/>
            </w14:solidFill>
          </w14:textFill>
        </w:rPr>
      </w:pPr>
    </w:p>
    <w:p>
      <w:pPr>
        <w:spacing w:line="380" w:lineRule="exact"/>
        <w:rPr>
          <w:rFonts w:ascii="宋体" w:hAnsi="宋体"/>
          <w:b/>
          <w:color w:val="000000" w:themeColor="text1"/>
          <w:sz w:val="22"/>
          <w14:textFill>
            <w14:solidFill>
              <w14:schemeClr w14:val="tx1"/>
            </w14:solidFill>
          </w14:textFill>
        </w:rPr>
      </w:pPr>
    </w:p>
    <w:p>
      <w:pPr>
        <w:spacing w:line="380" w:lineRule="exact"/>
        <w:rPr>
          <w:rFonts w:ascii="宋体" w:hAnsi="宋体"/>
          <w:b/>
          <w:color w:val="000000" w:themeColor="text1"/>
          <w:sz w:val="22"/>
          <w14:textFill>
            <w14:solidFill>
              <w14:schemeClr w14:val="tx1"/>
            </w14:solidFill>
          </w14:textFill>
        </w:rPr>
      </w:pPr>
    </w:p>
    <w:p>
      <w:pPr>
        <w:spacing w:line="380" w:lineRule="exact"/>
        <w:rPr>
          <w:rFonts w:ascii="宋体" w:hAnsi="宋体"/>
          <w:b/>
          <w:color w:val="000000" w:themeColor="text1"/>
          <w:sz w:val="22"/>
          <w14:textFill>
            <w14:solidFill>
              <w14:schemeClr w14:val="tx1"/>
            </w14:solidFill>
          </w14:textFill>
        </w:rPr>
      </w:pPr>
    </w:p>
    <w:p>
      <w:pPr>
        <w:spacing w:line="380" w:lineRule="exact"/>
        <w:rPr>
          <w:rFonts w:ascii="宋体" w:hAnsi="宋体"/>
          <w:b/>
          <w:color w:val="000000" w:themeColor="text1"/>
          <w:sz w:val="22"/>
          <w14:textFill>
            <w14:solidFill>
              <w14:schemeClr w14:val="tx1"/>
            </w14:solidFill>
          </w14:textFill>
        </w:rPr>
      </w:pPr>
    </w:p>
    <w:p>
      <w:pPr>
        <w:spacing w:line="380" w:lineRule="exact"/>
        <w:rPr>
          <w:rFonts w:ascii="宋体" w:hAnsi="宋体"/>
          <w:b/>
          <w:color w:val="000000" w:themeColor="text1"/>
          <w:sz w:val="22"/>
          <w14:textFill>
            <w14:solidFill>
              <w14:schemeClr w14:val="tx1"/>
            </w14:solidFill>
          </w14:textFill>
        </w:rPr>
      </w:pPr>
    </w:p>
    <w:p>
      <w:pPr>
        <w:spacing w:line="380" w:lineRule="exact"/>
        <w:rPr>
          <w:rFonts w:ascii="宋体" w:hAnsi="宋体"/>
          <w:b/>
          <w:color w:val="000000" w:themeColor="text1"/>
          <w:sz w:val="22"/>
          <w14:textFill>
            <w14:solidFill>
              <w14:schemeClr w14:val="tx1"/>
            </w14:solidFill>
          </w14:textFill>
        </w:rPr>
      </w:pPr>
    </w:p>
    <w:p>
      <w:pPr>
        <w:spacing w:line="380" w:lineRule="exact"/>
        <w:rPr>
          <w:rFonts w:ascii="宋体" w:hAnsi="宋体"/>
          <w:b/>
          <w:color w:val="000000" w:themeColor="text1"/>
          <w:sz w:val="22"/>
          <w14:textFill>
            <w14:solidFill>
              <w14:schemeClr w14:val="tx1"/>
            </w14:solidFill>
          </w14:textFill>
        </w:rPr>
      </w:pPr>
    </w:p>
    <w:p>
      <w:pPr>
        <w:spacing w:line="380" w:lineRule="exact"/>
        <w:rPr>
          <w:rFonts w:ascii="宋体" w:hAnsi="宋体"/>
          <w:b/>
          <w:color w:val="000000" w:themeColor="text1"/>
          <w:sz w:val="22"/>
          <w14:textFill>
            <w14:solidFill>
              <w14:schemeClr w14:val="tx1"/>
            </w14:solidFill>
          </w14:textFill>
        </w:rPr>
      </w:pPr>
    </w:p>
    <w:p>
      <w:pPr>
        <w:spacing w:line="380" w:lineRule="exact"/>
        <w:rPr>
          <w:rFonts w:ascii="宋体" w:hAnsi="宋体"/>
          <w:b/>
          <w:color w:val="000000" w:themeColor="text1"/>
          <w:sz w:val="22"/>
          <w14:textFill>
            <w14:solidFill>
              <w14:schemeClr w14:val="tx1"/>
            </w14:solidFill>
          </w14:textFill>
        </w:rPr>
      </w:pPr>
    </w:p>
    <w:p>
      <w:pPr>
        <w:spacing w:line="380" w:lineRule="exact"/>
        <w:rPr>
          <w:rFonts w:ascii="宋体" w:hAnsi="宋体"/>
          <w:b/>
          <w:color w:val="000000" w:themeColor="text1"/>
          <w:sz w:val="22"/>
          <w14:textFill>
            <w14:solidFill>
              <w14:schemeClr w14:val="tx1"/>
            </w14:solidFill>
          </w14:textFill>
        </w:rPr>
      </w:pPr>
    </w:p>
    <w:p>
      <w:pPr>
        <w:spacing w:line="380" w:lineRule="exact"/>
        <w:rPr>
          <w:rFonts w:ascii="宋体" w:hAnsi="宋体"/>
          <w:b/>
          <w:color w:val="000000" w:themeColor="text1"/>
          <w:sz w:val="22"/>
          <w14:textFill>
            <w14:solidFill>
              <w14:schemeClr w14:val="tx1"/>
            </w14:solidFill>
          </w14:textFill>
        </w:rPr>
      </w:pPr>
    </w:p>
    <w:p>
      <w:pPr>
        <w:spacing w:line="380" w:lineRule="exact"/>
        <w:rPr>
          <w:rFonts w:ascii="宋体" w:hAnsi="宋体"/>
          <w:b/>
          <w:color w:val="000000" w:themeColor="text1"/>
          <w:sz w:val="22"/>
          <w14:textFill>
            <w14:solidFill>
              <w14:schemeClr w14:val="tx1"/>
            </w14:solidFill>
          </w14:textFill>
        </w:rPr>
      </w:pPr>
      <w:r>
        <w:rPr>
          <w:rFonts w:ascii="宋体" w:hAnsi="宋体"/>
          <w:b/>
          <w:color w:val="000000" w:themeColor="text1"/>
          <w:sz w:val="22"/>
          <w14:textFill>
            <w14:solidFill>
              <w14:schemeClr w14:val="tx1"/>
            </w14:solidFill>
          </w14:textFill>
        </w:rPr>
        <w:br w:type="page"/>
      </w:r>
    </w:p>
    <w:p>
      <w:pPr>
        <w:tabs>
          <w:tab w:val="left" w:pos="0"/>
        </w:tabs>
        <w:adjustRightInd w:val="0"/>
        <w:snapToGrid w:val="0"/>
        <w:spacing w:line="360" w:lineRule="auto"/>
        <w:ind w:firstLine="110" w:firstLineChars="50"/>
        <w:rPr>
          <w:rFonts w:ascii="宋体" w:hAnsi="宋体" w:cs="Arial"/>
          <w:b/>
          <w:bCs/>
          <w:color w:val="000000" w:themeColor="text1"/>
          <w:sz w:val="22"/>
          <w:szCs w:val="22"/>
          <w14:textFill>
            <w14:solidFill>
              <w14:schemeClr w14:val="tx1"/>
            </w14:solidFill>
          </w14:textFill>
        </w:rPr>
      </w:pPr>
      <w:bookmarkStart w:id="160" w:name="_Toc221423625"/>
      <w:bookmarkStart w:id="161" w:name="_Toc241404208"/>
      <w:bookmarkStart w:id="162" w:name="_Toc221356894"/>
      <w:bookmarkStart w:id="163" w:name="_Toc246261271"/>
      <w:bookmarkStart w:id="164" w:name="_Toc221356957"/>
      <w:bookmarkStart w:id="165" w:name="_Toc221374632"/>
      <w:bookmarkStart w:id="166" w:name="_Toc239145360"/>
      <w:bookmarkStart w:id="167" w:name="_Toc245722287"/>
      <w:bookmarkStart w:id="168" w:name="_Toc223716004"/>
      <w:bookmarkStart w:id="169" w:name="_Toc245191320"/>
      <w:bookmarkStart w:id="170" w:name="_Toc222114885"/>
      <w:r>
        <w:rPr>
          <w:rFonts w:hint="eastAsia" w:ascii="宋体" w:hAnsi="宋体" w:cs="Arial"/>
          <w:b/>
          <w:bCs/>
          <w:color w:val="000000" w:themeColor="text1"/>
          <w:sz w:val="22"/>
          <w:szCs w:val="22"/>
          <w14:textFill>
            <w14:solidFill>
              <w14:schemeClr w14:val="tx1"/>
            </w14:solidFill>
          </w14:textFill>
        </w:rPr>
        <w:t>附件六</w:t>
      </w:r>
    </w:p>
    <w:p>
      <w:pPr>
        <w:spacing w:afterLines="50"/>
        <w:jc w:val="center"/>
        <w:rPr>
          <w:rFonts w:ascii="宋体" w:hAnsi="宋体"/>
          <w:b/>
          <w:bCs/>
          <w:color w:val="000000" w:themeColor="text1"/>
          <w:sz w:val="32"/>
          <w14:textFill>
            <w14:solidFill>
              <w14:schemeClr w14:val="tx1"/>
            </w14:solidFill>
          </w14:textFill>
        </w:rPr>
      </w:pPr>
      <w:r>
        <w:rPr>
          <w:rFonts w:hint="eastAsia" w:ascii="宋体" w:hAnsi="宋体"/>
          <w:b/>
          <w:bCs/>
          <w:color w:val="000000" w:themeColor="text1"/>
          <w:sz w:val="30"/>
          <w14:textFill>
            <w14:solidFill>
              <w14:schemeClr w14:val="tx1"/>
            </w14:solidFill>
          </w14:textFill>
        </w:rPr>
        <w:t>设备成套供货清单</w:t>
      </w:r>
    </w:p>
    <w:p>
      <w:pPr>
        <w:spacing w:line="440" w:lineRule="exact"/>
        <w:jc w:val="center"/>
        <w:rPr>
          <w:rFonts w:ascii="宋体" w:hAnsi="宋体" w:cs="宋体"/>
          <w:b/>
          <w:bCs/>
          <w:color w:val="000000" w:themeColor="text1"/>
          <w:sz w:val="28"/>
          <w:szCs w:val="28"/>
          <w14:textFill>
            <w14:solidFill>
              <w14:schemeClr w14:val="tx1"/>
            </w14:solidFill>
          </w14:textFill>
        </w:rPr>
      </w:pPr>
      <w:r>
        <w:rPr>
          <w:rFonts w:hint="eastAsia" w:ascii="宋体" w:hAnsi="宋体" w:cs="宋体"/>
          <w:b/>
          <w:bCs/>
          <w:color w:val="000000" w:themeColor="text1"/>
          <w:sz w:val="28"/>
          <w:szCs w:val="28"/>
          <w14:textFill>
            <w14:solidFill>
              <w14:schemeClr w14:val="tx1"/>
            </w14:solidFill>
          </w14:textFill>
        </w:rPr>
        <w:t>随机备品备件、易损易耗件、耗材和专用工具清单</w:t>
      </w:r>
    </w:p>
    <w:tbl>
      <w:tblPr>
        <w:tblStyle w:val="30"/>
        <w:tblW w:w="95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984"/>
        <w:gridCol w:w="1814"/>
        <w:gridCol w:w="931"/>
        <w:gridCol w:w="2340"/>
        <w:gridCol w:w="1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59" w:type="dxa"/>
            <w:vAlign w:val="center"/>
          </w:tcPr>
          <w:p>
            <w:pPr>
              <w:spacing w:line="380" w:lineRule="exact"/>
              <w:jc w:val="center"/>
              <w:rPr>
                <w:rFonts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sz w:val="22"/>
                <w:szCs w:val="22"/>
                <w14:textFill>
                  <w14:solidFill>
                    <w14:schemeClr w14:val="tx1"/>
                  </w14:solidFill>
                </w14:textFill>
              </w:rPr>
              <w:t>序号</w:t>
            </w:r>
          </w:p>
        </w:tc>
        <w:tc>
          <w:tcPr>
            <w:tcW w:w="1984" w:type="dxa"/>
            <w:vAlign w:val="center"/>
          </w:tcPr>
          <w:p>
            <w:pPr>
              <w:spacing w:line="380" w:lineRule="exact"/>
              <w:jc w:val="center"/>
              <w:rPr>
                <w:rFonts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sz w:val="22"/>
                <w:szCs w:val="22"/>
                <w14:textFill>
                  <w14:solidFill>
                    <w14:schemeClr w14:val="tx1"/>
                  </w14:solidFill>
                </w14:textFill>
              </w:rPr>
              <w:t>名  称</w:t>
            </w:r>
          </w:p>
        </w:tc>
        <w:tc>
          <w:tcPr>
            <w:tcW w:w="1814" w:type="dxa"/>
            <w:vAlign w:val="center"/>
          </w:tcPr>
          <w:p>
            <w:pPr>
              <w:spacing w:line="380" w:lineRule="exact"/>
              <w:jc w:val="center"/>
              <w:rPr>
                <w:rFonts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sz w:val="22"/>
                <w:szCs w:val="22"/>
                <w14:textFill>
                  <w14:solidFill>
                    <w14:schemeClr w14:val="tx1"/>
                  </w14:solidFill>
                </w14:textFill>
              </w:rPr>
              <w:t>型号规格</w:t>
            </w:r>
          </w:p>
        </w:tc>
        <w:tc>
          <w:tcPr>
            <w:tcW w:w="931" w:type="dxa"/>
            <w:vAlign w:val="center"/>
          </w:tcPr>
          <w:p>
            <w:pPr>
              <w:spacing w:line="380" w:lineRule="exact"/>
              <w:jc w:val="center"/>
              <w:rPr>
                <w:rFonts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sz w:val="22"/>
                <w:szCs w:val="22"/>
                <w14:textFill>
                  <w14:solidFill>
                    <w14:schemeClr w14:val="tx1"/>
                  </w14:solidFill>
                </w14:textFill>
              </w:rPr>
              <w:t>数量</w:t>
            </w:r>
          </w:p>
        </w:tc>
        <w:tc>
          <w:tcPr>
            <w:tcW w:w="2340" w:type="dxa"/>
            <w:vAlign w:val="center"/>
          </w:tcPr>
          <w:p>
            <w:pPr>
              <w:spacing w:line="380" w:lineRule="exact"/>
              <w:jc w:val="center"/>
              <w:rPr>
                <w:rFonts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sz w:val="22"/>
                <w:szCs w:val="22"/>
                <w14:textFill>
                  <w14:solidFill>
                    <w14:schemeClr w14:val="tx1"/>
                  </w14:solidFill>
                </w14:textFill>
              </w:rPr>
              <w:t>原产地/制造商</w:t>
            </w:r>
          </w:p>
        </w:tc>
        <w:tc>
          <w:tcPr>
            <w:tcW w:w="1570" w:type="dxa"/>
            <w:vAlign w:val="center"/>
          </w:tcPr>
          <w:p>
            <w:pPr>
              <w:spacing w:line="380" w:lineRule="exact"/>
              <w:jc w:val="center"/>
              <w:rPr>
                <w:rFonts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sz w:val="22"/>
                <w:szCs w:val="22"/>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59" w:type="dxa"/>
            <w:vAlign w:val="center"/>
          </w:tcPr>
          <w:p>
            <w:pPr>
              <w:spacing w:line="380" w:lineRule="exact"/>
              <w:jc w:val="center"/>
              <w:rPr>
                <w:rFonts w:ascii="宋体" w:hAnsi="宋体" w:cs="宋体"/>
                <w:b/>
                <w:bCs/>
                <w:color w:val="000000" w:themeColor="text1"/>
                <w:sz w:val="22"/>
                <w:szCs w:val="22"/>
                <w14:textFill>
                  <w14:solidFill>
                    <w14:schemeClr w14:val="tx1"/>
                  </w14:solidFill>
                </w14:textFill>
              </w:rPr>
            </w:pPr>
          </w:p>
        </w:tc>
        <w:tc>
          <w:tcPr>
            <w:tcW w:w="1984" w:type="dxa"/>
            <w:vAlign w:val="center"/>
          </w:tcPr>
          <w:p>
            <w:pPr>
              <w:spacing w:line="380" w:lineRule="exact"/>
              <w:jc w:val="center"/>
              <w:rPr>
                <w:rFonts w:ascii="宋体" w:hAnsi="宋体" w:cs="宋体"/>
                <w:b/>
                <w:bCs/>
                <w:color w:val="000000" w:themeColor="text1"/>
                <w:sz w:val="22"/>
                <w:szCs w:val="22"/>
                <w14:textFill>
                  <w14:solidFill>
                    <w14:schemeClr w14:val="tx1"/>
                  </w14:solidFill>
                </w14:textFill>
              </w:rPr>
            </w:pPr>
          </w:p>
        </w:tc>
        <w:tc>
          <w:tcPr>
            <w:tcW w:w="1814" w:type="dxa"/>
            <w:vAlign w:val="center"/>
          </w:tcPr>
          <w:p>
            <w:pPr>
              <w:spacing w:line="380" w:lineRule="exact"/>
              <w:jc w:val="center"/>
              <w:rPr>
                <w:rFonts w:ascii="宋体" w:hAnsi="宋体" w:cs="宋体"/>
                <w:b/>
                <w:bCs/>
                <w:color w:val="000000" w:themeColor="text1"/>
                <w:sz w:val="22"/>
                <w:szCs w:val="22"/>
                <w14:textFill>
                  <w14:solidFill>
                    <w14:schemeClr w14:val="tx1"/>
                  </w14:solidFill>
                </w14:textFill>
              </w:rPr>
            </w:pPr>
          </w:p>
        </w:tc>
        <w:tc>
          <w:tcPr>
            <w:tcW w:w="931" w:type="dxa"/>
            <w:vAlign w:val="center"/>
          </w:tcPr>
          <w:p>
            <w:pPr>
              <w:spacing w:line="380" w:lineRule="exact"/>
              <w:jc w:val="center"/>
              <w:rPr>
                <w:rFonts w:ascii="宋体" w:hAnsi="宋体" w:cs="宋体"/>
                <w:b/>
                <w:bCs/>
                <w:color w:val="000000" w:themeColor="text1"/>
                <w:sz w:val="22"/>
                <w:szCs w:val="22"/>
                <w14:textFill>
                  <w14:solidFill>
                    <w14:schemeClr w14:val="tx1"/>
                  </w14:solidFill>
                </w14:textFill>
              </w:rPr>
            </w:pPr>
          </w:p>
        </w:tc>
        <w:tc>
          <w:tcPr>
            <w:tcW w:w="2340" w:type="dxa"/>
            <w:vAlign w:val="center"/>
          </w:tcPr>
          <w:p>
            <w:pPr>
              <w:spacing w:line="380" w:lineRule="exact"/>
              <w:jc w:val="center"/>
              <w:rPr>
                <w:rFonts w:ascii="宋体" w:hAnsi="宋体" w:cs="宋体"/>
                <w:b/>
                <w:bCs/>
                <w:color w:val="000000" w:themeColor="text1"/>
                <w:sz w:val="22"/>
                <w:szCs w:val="22"/>
                <w14:textFill>
                  <w14:solidFill>
                    <w14:schemeClr w14:val="tx1"/>
                  </w14:solidFill>
                </w14:textFill>
              </w:rPr>
            </w:pPr>
          </w:p>
        </w:tc>
        <w:tc>
          <w:tcPr>
            <w:tcW w:w="1570" w:type="dxa"/>
            <w:vAlign w:val="center"/>
          </w:tcPr>
          <w:p>
            <w:pPr>
              <w:spacing w:line="380" w:lineRule="exact"/>
              <w:jc w:val="center"/>
              <w:rPr>
                <w:rFonts w:ascii="宋体" w:hAnsi="宋体" w:cs="宋体"/>
                <w:b/>
                <w:bCs/>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59" w:type="dxa"/>
            <w:vAlign w:val="center"/>
          </w:tcPr>
          <w:p>
            <w:pPr>
              <w:spacing w:line="380" w:lineRule="exact"/>
              <w:jc w:val="center"/>
              <w:rPr>
                <w:rFonts w:ascii="宋体" w:hAnsi="宋体" w:cs="宋体"/>
                <w:b/>
                <w:bCs/>
                <w:color w:val="000000" w:themeColor="text1"/>
                <w:sz w:val="22"/>
                <w:szCs w:val="22"/>
                <w14:textFill>
                  <w14:solidFill>
                    <w14:schemeClr w14:val="tx1"/>
                  </w14:solidFill>
                </w14:textFill>
              </w:rPr>
            </w:pPr>
          </w:p>
        </w:tc>
        <w:tc>
          <w:tcPr>
            <w:tcW w:w="1984" w:type="dxa"/>
            <w:vAlign w:val="center"/>
          </w:tcPr>
          <w:p>
            <w:pPr>
              <w:spacing w:line="380" w:lineRule="exact"/>
              <w:jc w:val="center"/>
              <w:rPr>
                <w:rFonts w:ascii="宋体" w:hAnsi="宋体" w:cs="宋体"/>
                <w:b/>
                <w:bCs/>
                <w:color w:val="000000" w:themeColor="text1"/>
                <w:sz w:val="22"/>
                <w:szCs w:val="22"/>
                <w14:textFill>
                  <w14:solidFill>
                    <w14:schemeClr w14:val="tx1"/>
                  </w14:solidFill>
                </w14:textFill>
              </w:rPr>
            </w:pPr>
          </w:p>
        </w:tc>
        <w:tc>
          <w:tcPr>
            <w:tcW w:w="1814" w:type="dxa"/>
            <w:vAlign w:val="center"/>
          </w:tcPr>
          <w:p>
            <w:pPr>
              <w:spacing w:line="380" w:lineRule="exact"/>
              <w:jc w:val="center"/>
              <w:rPr>
                <w:rFonts w:ascii="宋体" w:hAnsi="宋体" w:cs="宋体"/>
                <w:b/>
                <w:bCs/>
                <w:color w:val="000000" w:themeColor="text1"/>
                <w:sz w:val="22"/>
                <w:szCs w:val="22"/>
                <w14:textFill>
                  <w14:solidFill>
                    <w14:schemeClr w14:val="tx1"/>
                  </w14:solidFill>
                </w14:textFill>
              </w:rPr>
            </w:pPr>
          </w:p>
        </w:tc>
        <w:tc>
          <w:tcPr>
            <w:tcW w:w="931" w:type="dxa"/>
            <w:vAlign w:val="center"/>
          </w:tcPr>
          <w:p>
            <w:pPr>
              <w:spacing w:line="380" w:lineRule="exact"/>
              <w:jc w:val="center"/>
              <w:rPr>
                <w:rFonts w:ascii="宋体" w:hAnsi="宋体" w:cs="宋体"/>
                <w:b/>
                <w:bCs/>
                <w:color w:val="000000" w:themeColor="text1"/>
                <w:sz w:val="22"/>
                <w:szCs w:val="22"/>
                <w14:textFill>
                  <w14:solidFill>
                    <w14:schemeClr w14:val="tx1"/>
                  </w14:solidFill>
                </w14:textFill>
              </w:rPr>
            </w:pPr>
          </w:p>
        </w:tc>
        <w:tc>
          <w:tcPr>
            <w:tcW w:w="2340" w:type="dxa"/>
            <w:vAlign w:val="center"/>
          </w:tcPr>
          <w:p>
            <w:pPr>
              <w:spacing w:line="380" w:lineRule="exact"/>
              <w:jc w:val="center"/>
              <w:rPr>
                <w:rFonts w:ascii="宋体" w:hAnsi="宋体" w:cs="宋体"/>
                <w:b/>
                <w:bCs/>
                <w:color w:val="000000" w:themeColor="text1"/>
                <w:sz w:val="22"/>
                <w:szCs w:val="22"/>
                <w14:textFill>
                  <w14:solidFill>
                    <w14:schemeClr w14:val="tx1"/>
                  </w14:solidFill>
                </w14:textFill>
              </w:rPr>
            </w:pPr>
          </w:p>
        </w:tc>
        <w:tc>
          <w:tcPr>
            <w:tcW w:w="1570" w:type="dxa"/>
            <w:vAlign w:val="center"/>
          </w:tcPr>
          <w:p>
            <w:pPr>
              <w:spacing w:line="380" w:lineRule="exact"/>
              <w:jc w:val="center"/>
              <w:rPr>
                <w:rFonts w:ascii="宋体" w:hAnsi="宋体" w:cs="宋体"/>
                <w:b/>
                <w:bCs/>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59" w:type="dxa"/>
            <w:vAlign w:val="center"/>
          </w:tcPr>
          <w:p>
            <w:pPr>
              <w:spacing w:line="380" w:lineRule="exact"/>
              <w:jc w:val="center"/>
              <w:rPr>
                <w:rFonts w:ascii="宋体" w:hAnsi="宋体" w:cs="宋体"/>
                <w:b/>
                <w:bCs/>
                <w:color w:val="000000" w:themeColor="text1"/>
                <w:sz w:val="22"/>
                <w:szCs w:val="22"/>
                <w14:textFill>
                  <w14:solidFill>
                    <w14:schemeClr w14:val="tx1"/>
                  </w14:solidFill>
                </w14:textFill>
              </w:rPr>
            </w:pPr>
          </w:p>
        </w:tc>
        <w:tc>
          <w:tcPr>
            <w:tcW w:w="1984" w:type="dxa"/>
            <w:vAlign w:val="center"/>
          </w:tcPr>
          <w:p>
            <w:pPr>
              <w:spacing w:line="380" w:lineRule="exact"/>
              <w:jc w:val="center"/>
              <w:rPr>
                <w:rFonts w:ascii="宋体" w:hAnsi="宋体" w:cs="宋体"/>
                <w:b/>
                <w:bCs/>
                <w:color w:val="000000" w:themeColor="text1"/>
                <w:sz w:val="22"/>
                <w:szCs w:val="22"/>
                <w14:textFill>
                  <w14:solidFill>
                    <w14:schemeClr w14:val="tx1"/>
                  </w14:solidFill>
                </w14:textFill>
              </w:rPr>
            </w:pPr>
          </w:p>
        </w:tc>
        <w:tc>
          <w:tcPr>
            <w:tcW w:w="1814" w:type="dxa"/>
            <w:vAlign w:val="center"/>
          </w:tcPr>
          <w:p>
            <w:pPr>
              <w:spacing w:line="380" w:lineRule="exact"/>
              <w:jc w:val="center"/>
              <w:rPr>
                <w:rFonts w:ascii="宋体" w:hAnsi="宋体" w:cs="宋体"/>
                <w:b/>
                <w:bCs/>
                <w:color w:val="000000" w:themeColor="text1"/>
                <w:sz w:val="22"/>
                <w:szCs w:val="22"/>
                <w14:textFill>
                  <w14:solidFill>
                    <w14:schemeClr w14:val="tx1"/>
                  </w14:solidFill>
                </w14:textFill>
              </w:rPr>
            </w:pPr>
          </w:p>
        </w:tc>
        <w:tc>
          <w:tcPr>
            <w:tcW w:w="931" w:type="dxa"/>
            <w:vAlign w:val="center"/>
          </w:tcPr>
          <w:p>
            <w:pPr>
              <w:spacing w:line="380" w:lineRule="exact"/>
              <w:jc w:val="center"/>
              <w:rPr>
                <w:rFonts w:ascii="宋体" w:hAnsi="宋体" w:cs="宋体"/>
                <w:b/>
                <w:bCs/>
                <w:color w:val="000000" w:themeColor="text1"/>
                <w:sz w:val="22"/>
                <w:szCs w:val="22"/>
                <w14:textFill>
                  <w14:solidFill>
                    <w14:schemeClr w14:val="tx1"/>
                  </w14:solidFill>
                </w14:textFill>
              </w:rPr>
            </w:pPr>
          </w:p>
        </w:tc>
        <w:tc>
          <w:tcPr>
            <w:tcW w:w="2340" w:type="dxa"/>
            <w:vAlign w:val="center"/>
          </w:tcPr>
          <w:p>
            <w:pPr>
              <w:spacing w:line="380" w:lineRule="exact"/>
              <w:jc w:val="center"/>
              <w:rPr>
                <w:rFonts w:ascii="宋体" w:hAnsi="宋体" w:cs="宋体"/>
                <w:b/>
                <w:bCs/>
                <w:color w:val="000000" w:themeColor="text1"/>
                <w:sz w:val="22"/>
                <w:szCs w:val="22"/>
                <w14:textFill>
                  <w14:solidFill>
                    <w14:schemeClr w14:val="tx1"/>
                  </w14:solidFill>
                </w14:textFill>
              </w:rPr>
            </w:pPr>
          </w:p>
        </w:tc>
        <w:tc>
          <w:tcPr>
            <w:tcW w:w="1570" w:type="dxa"/>
            <w:vAlign w:val="center"/>
          </w:tcPr>
          <w:p>
            <w:pPr>
              <w:spacing w:line="380" w:lineRule="exact"/>
              <w:jc w:val="center"/>
              <w:rPr>
                <w:rFonts w:ascii="宋体" w:hAnsi="宋体" w:cs="宋体"/>
                <w:b/>
                <w:bCs/>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59" w:type="dxa"/>
            <w:vAlign w:val="center"/>
          </w:tcPr>
          <w:p>
            <w:pPr>
              <w:spacing w:line="380" w:lineRule="exact"/>
              <w:jc w:val="center"/>
              <w:rPr>
                <w:rFonts w:ascii="宋体" w:hAnsi="宋体" w:cs="宋体"/>
                <w:b/>
                <w:bCs/>
                <w:color w:val="000000" w:themeColor="text1"/>
                <w:sz w:val="22"/>
                <w:szCs w:val="22"/>
                <w14:textFill>
                  <w14:solidFill>
                    <w14:schemeClr w14:val="tx1"/>
                  </w14:solidFill>
                </w14:textFill>
              </w:rPr>
            </w:pPr>
          </w:p>
        </w:tc>
        <w:tc>
          <w:tcPr>
            <w:tcW w:w="1984" w:type="dxa"/>
            <w:vAlign w:val="center"/>
          </w:tcPr>
          <w:p>
            <w:pPr>
              <w:spacing w:line="380" w:lineRule="exact"/>
              <w:jc w:val="center"/>
              <w:rPr>
                <w:rFonts w:ascii="宋体" w:hAnsi="宋体" w:cs="宋体"/>
                <w:b/>
                <w:bCs/>
                <w:color w:val="000000" w:themeColor="text1"/>
                <w:sz w:val="22"/>
                <w:szCs w:val="22"/>
                <w14:textFill>
                  <w14:solidFill>
                    <w14:schemeClr w14:val="tx1"/>
                  </w14:solidFill>
                </w14:textFill>
              </w:rPr>
            </w:pPr>
          </w:p>
        </w:tc>
        <w:tc>
          <w:tcPr>
            <w:tcW w:w="1814" w:type="dxa"/>
            <w:vAlign w:val="center"/>
          </w:tcPr>
          <w:p>
            <w:pPr>
              <w:spacing w:line="380" w:lineRule="exact"/>
              <w:jc w:val="center"/>
              <w:rPr>
                <w:rFonts w:ascii="宋体" w:hAnsi="宋体" w:cs="宋体"/>
                <w:b/>
                <w:bCs/>
                <w:color w:val="000000" w:themeColor="text1"/>
                <w:sz w:val="22"/>
                <w:szCs w:val="22"/>
                <w14:textFill>
                  <w14:solidFill>
                    <w14:schemeClr w14:val="tx1"/>
                  </w14:solidFill>
                </w14:textFill>
              </w:rPr>
            </w:pPr>
          </w:p>
        </w:tc>
        <w:tc>
          <w:tcPr>
            <w:tcW w:w="931" w:type="dxa"/>
            <w:vAlign w:val="center"/>
          </w:tcPr>
          <w:p>
            <w:pPr>
              <w:spacing w:line="380" w:lineRule="exact"/>
              <w:jc w:val="center"/>
              <w:rPr>
                <w:rFonts w:ascii="宋体" w:hAnsi="宋体" w:cs="宋体"/>
                <w:b/>
                <w:bCs/>
                <w:color w:val="000000" w:themeColor="text1"/>
                <w:sz w:val="22"/>
                <w:szCs w:val="22"/>
                <w14:textFill>
                  <w14:solidFill>
                    <w14:schemeClr w14:val="tx1"/>
                  </w14:solidFill>
                </w14:textFill>
              </w:rPr>
            </w:pPr>
          </w:p>
        </w:tc>
        <w:tc>
          <w:tcPr>
            <w:tcW w:w="2340" w:type="dxa"/>
            <w:vAlign w:val="center"/>
          </w:tcPr>
          <w:p>
            <w:pPr>
              <w:spacing w:line="380" w:lineRule="exact"/>
              <w:jc w:val="center"/>
              <w:rPr>
                <w:rFonts w:ascii="宋体" w:hAnsi="宋体" w:cs="宋体"/>
                <w:b/>
                <w:bCs/>
                <w:color w:val="000000" w:themeColor="text1"/>
                <w:sz w:val="22"/>
                <w:szCs w:val="22"/>
                <w14:textFill>
                  <w14:solidFill>
                    <w14:schemeClr w14:val="tx1"/>
                  </w14:solidFill>
                </w14:textFill>
              </w:rPr>
            </w:pPr>
          </w:p>
        </w:tc>
        <w:tc>
          <w:tcPr>
            <w:tcW w:w="1570" w:type="dxa"/>
            <w:vAlign w:val="center"/>
          </w:tcPr>
          <w:p>
            <w:pPr>
              <w:spacing w:line="380" w:lineRule="exact"/>
              <w:jc w:val="center"/>
              <w:rPr>
                <w:rFonts w:ascii="宋体" w:hAnsi="宋体" w:cs="宋体"/>
                <w:b/>
                <w:bCs/>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59" w:type="dxa"/>
            <w:vAlign w:val="center"/>
          </w:tcPr>
          <w:p>
            <w:pPr>
              <w:spacing w:line="380" w:lineRule="exact"/>
              <w:jc w:val="center"/>
              <w:rPr>
                <w:rFonts w:ascii="宋体" w:hAnsi="宋体" w:cs="宋体"/>
                <w:b/>
                <w:bCs/>
                <w:color w:val="000000" w:themeColor="text1"/>
                <w:sz w:val="22"/>
                <w:szCs w:val="22"/>
                <w14:textFill>
                  <w14:solidFill>
                    <w14:schemeClr w14:val="tx1"/>
                  </w14:solidFill>
                </w14:textFill>
              </w:rPr>
            </w:pPr>
          </w:p>
        </w:tc>
        <w:tc>
          <w:tcPr>
            <w:tcW w:w="1984" w:type="dxa"/>
            <w:vAlign w:val="center"/>
          </w:tcPr>
          <w:p>
            <w:pPr>
              <w:spacing w:line="380" w:lineRule="exact"/>
              <w:jc w:val="center"/>
              <w:rPr>
                <w:rFonts w:ascii="宋体" w:hAnsi="宋体" w:cs="宋体"/>
                <w:b/>
                <w:bCs/>
                <w:color w:val="000000" w:themeColor="text1"/>
                <w:sz w:val="22"/>
                <w:szCs w:val="22"/>
                <w14:textFill>
                  <w14:solidFill>
                    <w14:schemeClr w14:val="tx1"/>
                  </w14:solidFill>
                </w14:textFill>
              </w:rPr>
            </w:pPr>
          </w:p>
        </w:tc>
        <w:tc>
          <w:tcPr>
            <w:tcW w:w="1814" w:type="dxa"/>
            <w:vAlign w:val="center"/>
          </w:tcPr>
          <w:p>
            <w:pPr>
              <w:spacing w:line="380" w:lineRule="exact"/>
              <w:jc w:val="center"/>
              <w:rPr>
                <w:rFonts w:ascii="宋体" w:hAnsi="宋体" w:cs="宋体"/>
                <w:b/>
                <w:bCs/>
                <w:color w:val="000000" w:themeColor="text1"/>
                <w:sz w:val="22"/>
                <w:szCs w:val="22"/>
                <w14:textFill>
                  <w14:solidFill>
                    <w14:schemeClr w14:val="tx1"/>
                  </w14:solidFill>
                </w14:textFill>
              </w:rPr>
            </w:pPr>
          </w:p>
        </w:tc>
        <w:tc>
          <w:tcPr>
            <w:tcW w:w="931" w:type="dxa"/>
            <w:vAlign w:val="center"/>
          </w:tcPr>
          <w:p>
            <w:pPr>
              <w:spacing w:line="380" w:lineRule="exact"/>
              <w:jc w:val="center"/>
              <w:rPr>
                <w:rFonts w:ascii="宋体" w:hAnsi="宋体" w:cs="宋体"/>
                <w:b/>
                <w:bCs/>
                <w:color w:val="000000" w:themeColor="text1"/>
                <w:sz w:val="22"/>
                <w:szCs w:val="22"/>
                <w14:textFill>
                  <w14:solidFill>
                    <w14:schemeClr w14:val="tx1"/>
                  </w14:solidFill>
                </w14:textFill>
              </w:rPr>
            </w:pPr>
          </w:p>
        </w:tc>
        <w:tc>
          <w:tcPr>
            <w:tcW w:w="2340" w:type="dxa"/>
            <w:vAlign w:val="center"/>
          </w:tcPr>
          <w:p>
            <w:pPr>
              <w:spacing w:line="380" w:lineRule="exact"/>
              <w:jc w:val="center"/>
              <w:rPr>
                <w:rFonts w:ascii="宋体" w:hAnsi="宋体" w:cs="宋体"/>
                <w:b/>
                <w:bCs/>
                <w:color w:val="000000" w:themeColor="text1"/>
                <w:sz w:val="22"/>
                <w:szCs w:val="22"/>
                <w14:textFill>
                  <w14:solidFill>
                    <w14:schemeClr w14:val="tx1"/>
                  </w14:solidFill>
                </w14:textFill>
              </w:rPr>
            </w:pPr>
          </w:p>
        </w:tc>
        <w:tc>
          <w:tcPr>
            <w:tcW w:w="1570" w:type="dxa"/>
            <w:vAlign w:val="center"/>
          </w:tcPr>
          <w:p>
            <w:pPr>
              <w:spacing w:line="380" w:lineRule="exact"/>
              <w:jc w:val="center"/>
              <w:rPr>
                <w:rFonts w:ascii="宋体" w:hAnsi="宋体" w:cs="宋体"/>
                <w:b/>
                <w:bCs/>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59" w:type="dxa"/>
            <w:vAlign w:val="center"/>
          </w:tcPr>
          <w:p>
            <w:pPr>
              <w:spacing w:line="380" w:lineRule="exact"/>
              <w:jc w:val="center"/>
              <w:rPr>
                <w:rFonts w:ascii="宋体" w:hAnsi="宋体" w:cs="宋体"/>
                <w:b/>
                <w:bCs/>
                <w:color w:val="000000" w:themeColor="text1"/>
                <w:sz w:val="22"/>
                <w:szCs w:val="22"/>
                <w14:textFill>
                  <w14:solidFill>
                    <w14:schemeClr w14:val="tx1"/>
                  </w14:solidFill>
                </w14:textFill>
              </w:rPr>
            </w:pPr>
          </w:p>
        </w:tc>
        <w:tc>
          <w:tcPr>
            <w:tcW w:w="1984" w:type="dxa"/>
            <w:vAlign w:val="center"/>
          </w:tcPr>
          <w:p>
            <w:pPr>
              <w:spacing w:line="380" w:lineRule="exact"/>
              <w:jc w:val="center"/>
              <w:rPr>
                <w:rFonts w:ascii="宋体" w:hAnsi="宋体" w:cs="宋体"/>
                <w:b/>
                <w:bCs/>
                <w:color w:val="000000" w:themeColor="text1"/>
                <w:sz w:val="22"/>
                <w:szCs w:val="22"/>
                <w14:textFill>
                  <w14:solidFill>
                    <w14:schemeClr w14:val="tx1"/>
                  </w14:solidFill>
                </w14:textFill>
              </w:rPr>
            </w:pPr>
          </w:p>
        </w:tc>
        <w:tc>
          <w:tcPr>
            <w:tcW w:w="1814" w:type="dxa"/>
            <w:vAlign w:val="center"/>
          </w:tcPr>
          <w:p>
            <w:pPr>
              <w:spacing w:line="380" w:lineRule="exact"/>
              <w:jc w:val="center"/>
              <w:rPr>
                <w:rFonts w:ascii="宋体" w:hAnsi="宋体" w:cs="宋体"/>
                <w:b/>
                <w:bCs/>
                <w:color w:val="000000" w:themeColor="text1"/>
                <w:sz w:val="22"/>
                <w:szCs w:val="22"/>
                <w14:textFill>
                  <w14:solidFill>
                    <w14:schemeClr w14:val="tx1"/>
                  </w14:solidFill>
                </w14:textFill>
              </w:rPr>
            </w:pPr>
          </w:p>
        </w:tc>
        <w:tc>
          <w:tcPr>
            <w:tcW w:w="931" w:type="dxa"/>
            <w:vAlign w:val="center"/>
          </w:tcPr>
          <w:p>
            <w:pPr>
              <w:spacing w:line="380" w:lineRule="exact"/>
              <w:jc w:val="center"/>
              <w:rPr>
                <w:rFonts w:ascii="宋体" w:hAnsi="宋体" w:cs="宋体"/>
                <w:b/>
                <w:bCs/>
                <w:color w:val="000000" w:themeColor="text1"/>
                <w:sz w:val="22"/>
                <w:szCs w:val="22"/>
                <w14:textFill>
                  <w14:solidFill>
                    <w14:schemeClr w14:val="tx1"/>
                  </w14:solidFill>
                </w14:textFill>
              </w:rPr>
            </w:pPr>
          </w:p>
        </w:tc>
        <w:tc>
          <w:tcPr>
            <w:tcW w:w="2340" w:type="dxa"/>
            <w:vAlign w:val="center"/>
          </w:tcPr>
          <w:p>
            <w:pPr>
              <w:spacing w:line="380" w:lineRule="exact"/>
              <w:jc w:val="center"/>
              <w:rPr>
                <w:rFonts w:ascii="宋体" w:hAnsi="宋体" w:cs="宋体"/>
                <w:b/>
                <w:bCs/>
                <w:color w:val="000000" w:themeColor="text1"/>
                <w:sz w:val="22"/>
                <w:szCs w:val="22"/>
                <w14:textFill>
                  <w14:solidFill>
                    <w14:schemeClr w14:val="tx1"/>
                  </w14:solidFill>
                </w14:textFill>
              </w:rPr>
            </w:pPr>
          </w:p>
        </w:tc>
        <w:tc>
          <w:tcPr>
            <w:tcW w:w="1570" w:type="dxa"/>
            <w:vAlign w:val="center"/>
          </w:tcPr>
          <w:p>
            <w:pPr>
              <w:spacing w:line="380" w:lineRule="exact"/>
              <w:jc w:val="center"/>
              <w:rPr>
                <w:rFonts w:ascii="宋体" w:hAnsi="宋体" w:cs="宋体"/>
                <w:b/>
                <w:bCs/>
                <w:color w:val="000000" w:themeColor="text1"/>
                <w:sz w:val="22"/>
                <w:szCs w:val="22"/>
                <w14:textFill>
                  <w14:solidFill>
                    <w14:schemeClr w14:val="tx1"/>
                  </w14:solidFill>
                </w14:textFill>
              </w:rPr>
            </w:pPr>
          </w:p>
        </w:tc>
      </w:tr>
    </w:tbl>
    <w:p>
      <w:pPr>
        <w:spacing w:line="440" w:lineRule="exact"/>
        <w:jc w:val="left"/>
        <w:rPr>
          <w:rFonts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sz w:val="22"/>
          <w:szCs w:val="22"/>
          <w14:textFill>
            <w14:solidFill>
              <w14:schemeClr w14:val="tx1"/>
            </w14:solidFill>
          </w14:textFill>
        </w:rPr>
        <w:t>注：投标人可按以上表格形式进行复制、附在技术标内。</w:t>
      </w:r>
    </w:p>
    <w:p>
      <w:pPr>
        <w:spacing w:line="440" w:lineRule="exact"/>
        <w:jc w:val="left"/>
        <w:rPr>
          <w:rFonts w:ascii="宋体" w:hAnsi="宋体" w:cs="宋体"/>
          <w:b/>
          <w:bCs/>
          <w:color w:val="000000" w:themeColor="text1"/>
          <w:sz w:val="22"/>
          <w:szCs w:val="22"/>
          <w14:textFill>
            <w14:solidFill>
              <w14:schemeClr w14:val="tx1"/>
            </w14:solidFill>
          </w14:textFill>
        </w:rPr>
      </w:pPr>
    </w:p>
    <w:p>
      <w:pPr>
        <w:spacing w:line="440" w:lineRule="exact"/>
        <w:jc w:val="left"/>
        <w:rPr>
          <w:rFonts w:ascii="宋体" w:hAnsi="宋体" w:cs="宋体"/>
          <w:b/>
          <w:bCs/>
          <w:color w:val="000000" w:themeColor="text1"/>
          <w:sz w:val="22"/>
          <w:szCs w:val="22"/>
          <w14:textFill>
            <w14:solidFill>
              <w14:schemeClr w14:val="tx1"/>
            </w14:solidFill>
          </w14:textFill>
        </w:rPr>
      </w:pPr>
    </w:p>
    <w:p>
      <w:pPr>
        <w:spacing w:line="380" w:lineRule="exact"/>
        <w:ind w:firstLine="4400" w:firstLineChars="2000"/>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投标人全称（盖章）：</w:t>
      </w:r>
    </w:p>
    <w:p>
      <w:pPr>
        <w:spacing w:line="380" w:lineRule="exact"/>
        <w:ind w:firstLine="4400" w:firstLineChars="2000"/>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法定代表人或授权代表（签字或盖章）：</w:t>
      </w:r>
    </w:p>
    <w:p>
      <w:pPr>
        <w:spacing w:line="380" w:lineRule="exact"/>
        <w:ind w:firstLine="4400" w:firstLineChars="2000"/>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日期：  年   月  日</w:t>
      </w:r>
    </w:p>
    <w:p>
      <w:pPr>
        <w:tabs>
          <w:tab w:val="left" w:pos="0"/>
        </w:tabs>
        <w:adjustRightInd w:val="0"/>
        <w:snapToGrid w:val="0"/>
        <w:spacing w:line="360" w:lineRule="auto"/>
        <w:ind w:firstLine="110" w:firstLineChars="50"/>
        <w:rPr>
          <w:rFonts w:ascii="宋体" w:hAnsi="宋体" w:cs="Arial"/>
          <w:b/>
          <w:bCs/>
          <w:color w:val="000000" w:themeColor="text1"/>
          <w:sz w:val="22"/>
          <w:szCs w:val="22"/>
          <w14:textFill>
            <w14:solidFill>
              <w14:schemeClr w14:val="tx1"/>
            </w14:solidFill>
          </w14:textFill>
        </w:rPr>
      </w:pPr>
    </w:p>
    <w:p>
      <w:pPr>
        <w:tabs>
          <w:tab w:val="left" w:pos="0"/>
        </w:tabs>
        <w:adjustRightInd w:val="0"/>
        <w:snapToGrid w:val="0"/>
        <w:spacing w:line="360" w:lineRule="auto"/>
        <w:ind w:firstLine="110" w:firstLineChars="50"/>
        <w:rPr>
          <w:rFonts w:ascii="宋体" w:hAnsi="宋体" w:cs="Arial"/>
          <w:b/>
          <w:bCs/>
          <w:color w:val="000000" w:themeColor="text1"/>
          <w:sz w:val="22"/>
          <w:szCs w:val="22"/>
          <w14:textFill>
            <w14:solidFill>
              <w14:schemeClr w14:val="tx1"/>
            </w14:solidFill>
          </w14:textFill>
        </w:rPr>
      </w:pPr>
    </w:p>
    <w:p>
      <w:pPr>
        <w:spacing w:line="380" w:lineRule="exact"/>
        <w:rPr>
          <w:rFonts w:ascii="宋体" w:hAnsi="宋体" w:cs="Arial"/>
          <w:b/>
          <w:color w:val="000000" w:themeColor="text1"/>
          <w:sz w:val="22"/>
          <w:szCs w:val="22"/>
          <w14:textFill>
            <w14:solidFill>
              <w14:schemeClr w14:val="tx1"/>
            </w14:solidFill>
          </w14:textFill>
        </w:rPr>
      </w:pPr>
      <w:r>
        <w:rPr>
          <w:rFonts w:hint="eastAsia" w:ascii="宋体" w:hAnsi="宋体"/>
          <w:b/>
          <w:bCs/>
          <w:color w:val="000000" w:themeColor="text1"/>
          <w:sz w:val="22"/>
          <w:szCs w:val="22"/>
          <w14:textFill>
            <w14:solidFill>
              <w14:schemeClr w14:val="tx1"/>
            </w14:solidFill>
          </w14:textFill>
        </w:rPr>
        <w:br w:type="page"/>
      </w:r>
      <w:r>
        <w:rPr>
          <w:rFonts w:hint="eastAsia" w:ascii="宋体" w:hAnsi="宋体" w:cs="Arial"/>
          <w:b/>
          <w:color w:val="000000" w:themeColor="text1"/>
          <w:sz w:val="22"/>
          <w:szCs w:val="22"/>
          <w14:textFill>
            <w14:solidFill>
              <w14:schemeClr w14:val="tx1"/>
            </w14:solidFill>
          </w14:textFill>
        </w:rPr>
        <w:t>附件七</w:t>
      </w:r>
    </w:p>
    <w:p>
      <w:pPr>
        <w:spacing w:line="500" w:lineRule="exact"/>
        <w:rPr>
          <w:rFonts w:ascii="宋体" w:hAnsi="宋体" w:cs="Arial"/>
          <w:color w:val="000000" w:themeColor="text1"/>
          <w:sz w:val="28"/>
          <w14:textFill>
            <w14:solidFill>
              <w14:schemeClr w14:val="tx1"/>
            </w14:solidFill>
          </w14:textFill>
        </w:rPr>
      </w:pPr>
    </w:p>
    <w:p>
      <w:pPr>
        <w:adjustRightInd w:val="0"/>
        <w:snapToGrid w:val="0"/>
        <w:spacing w:line="360" w:lineRule="auto"/>
        <w:jc w:val="center"/>
        <w:rPr>
          <w:rFonts w:ascii="宋体" w:hAnsi="宋体"/>
          <w:b/>
          <w:color w:val="auto"/>
          <w:sz w:val="24"/>
        </w:rPr>
      </w:pPr>
      <w:r>
        <w:rPr>
          <w:rFonts w:hint="eastAsia" w:ascii="宋体" w:hAnsi="宋体"/>
          <w:b/>
          <w:color w:val="auto"/>
          <w:sz w:val="24"/>
        </w:rPr>
        <w:t>2017年1月至今类似销售业绩表</w:t>
      </w:r>
    </w:p>
    <w:tbl>
      <w:tblPr>
        <w:tblStyle w:val="30"/>
        <w:tblW w:w="1005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2335"/>
        <w:gridCol w:w="851"/>
        <w:gridCol w:w="1275"/>
        <w:gridCol w:w="1560"/>
        <w:gridCol w:w="1559"/>
        <w:gridCol w:w="1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851" w:type="dxa"/>
            <w:vAlign w:val="center"/>
          </w:tcPr>
          <w:p>
            <w:pPr>
              <w:spacing w:line="380" w:lineRule="exact"/>
              <w:jc w:val="center"/>
              <w:rPr>
                <w:rFonts w:ascii="宋体" w:hAnsi="宋体"/>
                <w:b/>
                <w:bCs/>
                <w:color w:val="auto"/>
                <w:sz w:val="22"/>
                <w:szCs w:val="22"/>
              </w:rPr>
            </w:pPr>
            <w:r>
              <w:rPr>
                <w:rFonts w:hint="eastAsia" w:ascii="宋体" w:hAnsi="宋体"/>
                <w:b/>
                <w:bCs/>
                <w:color w:val="auto"/>
                <w:sz w:val="22"/>
                <w:szCs w:val="22"/>
              </w:rPr>
              <w:t>序号</w:t>
            </w:r>
          </w:p>
        </w:tc>
        <w:tc>
          <w:tcPr>
            <w:tcW w:w="2335" w:type="dxa"/>
            <w:vAlign w:val="center"/>
          </w:tcPr>
          <w:p>
            <w:pPr>
              <w:spacing w:line="380" w:lineRule="exact"/>
              <w:jc w:val="center"/>
              <w:rPr>
                <w:rFonts w:ascii="宋体" w:hAnsi="宋体"/>
                <w:b/>
                <w:bCs/>
                <w:color w:val="auto"/>
                <w:sz w:val="22"/>
                <w:szCs w:val="22"/>
              </w:rPr>
            </w:pPr>
            <w:r>
              <w:rPr>
                <w:rFonts w:hint="eastAsia" w:ascii="宋体" w:hAnsi="宋体"/>
                <w:b/>
                <w:bCs/>
                <w:color w:val="auto"/>
                <w:sz w:val="22"/>
                <w:szCs w:val="22"/>
              </w:rPr>
              <w:t>用户名称</w:t>
            </w:r>
          </w:p>
        </w:tc>
        <w:tc>
          <w:tcPr>
            <w:tcW w:w="851" w:type="dxa"/>
            <w:vAlign w:val="center"/>
          </w:tcPr>
          <w:p>
            <w:pPr>
              <w:spacing w:line="380" w:lineRule="exact"/>
              <w:jc w:val="center"/>
              <w:rPr>
                <w:rFonts w:ascii="宋体" w:hAnsi="宋体"/>
                <w:b/>
                <w:bCs/>
                <w:color w:val="auto"/>
                <w:sz w:val="22"/>
                <w:szCs w:val="22"/>
              </w:rPr>
            </w:pPr>
            <w:r>
              <w:rPr>
                <w:rFonts w:hint="eastAsia" w:ascii="宋体" w:hAnsi="宋体"/>
                <w:b/>
                <w:bCs/>
                <w:color w:val="auto"/>
                <w:sz w:val="22"/>
                <w:szCs w:val="22"/>
              </w:rPr>
              <w:t>数量</w:t>
            </w:r>
          </w:p>
        </w:tc>
        <w:tc>
          <w:tcPr>
            <w:tcW w:w="1275" w:type="dxa"/>
            <w:vAlign w:val="center"/>
          </w:tcPr>
          <w:p>
            <w:pPr>
              <w:spacing w:line="380" w:lineRule="exact"/>
              <w:jc w:val="center"/>
              <w:rPr>
                <w:rFonts w:ascii="宋体" w:hAnsi="宋体"/>
                <w:b/>
                <w:bCs/>
                <w:color w:val="auto"/>
                <w:sz w:val="22"/>
                <w:szCs w:val="22"/>
              </w:rPr>
            </w:pPr>
            <w:r>
              <w:rPr>
                <w:rFonts w:hint="eastAsia" w:ascii="宋体" w:hAnsi="宋体"/>
                <w:b/>
                <w:bCs/>
                <w:color w:val="auto"/>
                <w:sz w:val="22"/>
                <w:szCs w:val="22"/>
              </w:rPr>
              <w:t>单价</w:t>
            </w:r>
          </w:p>
        </w:tc>
        <w:tc>
          <w:tcPr>
            <w:tcW w:w="1560" w:type="dxa"/>
            <w:vAlign w:val="center"/>
          </w:tcPr>
          <w:p>
            <w:pPr>
              <w:spacing w:line="380" w:lineRule="exact"/>
              <w:jc w:val="center"/>
              <w:rPr>
                <w:rFonts w:ascii="宋体" w:hAnsi="宋体"/>
                <w:b/>
                <w:bCs/>
                <w:color w:val="auto"/>
                <w:sz w:val="22"/>
                <w:szCs w:val="22"/>
              </w:rPr>
            </w:pPr>
            <w:r>
              <w:rPr>
                <w:rFonts w:hint="eastAsia" w:ascii="宋体" w:hAnsi="宋体"/>
                <w:b/>
                <w:bCs/>
                <w:color w:val="auto"/>
                <w:sz w:val="22"/>
                <w:szCs w:val="22"/>
              </w:rPr>
              <w:t>金额</w:t>
            </w:r>
          </w:p>
        </w:tc>
        <w:tc>
          <w:tcPr>
            <w:tcW w:w="1559" w:type="dxa"/>
            <w:vAlign w:val="center"/>
          </w:tcPr>
          <w:p>
            <w:pPr>
              <w:spacing w:line="380" w:lineRule="exact"/>
              <w:jc w:val="center"/>
              <w:rPr>
                <w:rFonts w:ascii="宋体" w:hAnsi="宋体"/>
                <w:b/>
                <w:bCs/>
                <w:color w:val="auto"/>
                <w:sz w:val="22"/>
                <w:szCs w:val="22"/>
              </w:rPr>
            </w:pPr>
            <w:r>
              <w:rPr>
                <w:rFonts w:hint="eastAsia" w:ascii="宋体" w:hAnsi="宋体"/>
                <w:b/>
                <w:bCs/>
                <w:color w:val="auto"/>
                <w:sz w:val="22"/>
                <w:szCs w:val="22"/>
              </w:rPr>
              <w:t>合同日期</w:t>
            </w:r>
          </w:p>
        </w:tc>
        <w:tc>
          <w:tcPr>
            <w:tcW w:w="1625" w:type="dxa"/>
            <w:vAlign w:val="center"/>
          </w:tcPr>
          <w:p>
            <w:pPr>
              <w:spacing w:line="380" w:lineRule="exact"/>
              <w:jc w:val="center"/>
              <w:rPr>
                <w:rFonts w:ascii="宋体" w:hAnsi="宋体"/>
                <w:b/>
                <w:bCs/>
                <w:color w:val="auto"/>
                <w:sz w:val="22"/>
                <w:szCs w:val="22"/>
              </w:rPr>
            </w:pPr>
            <w:r>
              <w:rPr>
                <w:rFonts w:hint="eastAsia" w:ascii="宋体" w:hAnsi="宋体"/>
                <w:b/>
                <w:bCs/>
                <w:color w:val="auto"/>
                <w:sz w:val="22"/>
                <w:szCs w:val="22"/>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851" w:type="dxa"/>
            <w:vAlign w:val="center"/>
          </w:tcPr>
          <w:p>
            <w:pPr>
              <w:spacing w:line="380" w:lineRule="exact"/>
              <w:jc w:val="center"/>
              <w:rPr>
                <w:rFonts w:ascii="宋体" w:hAnsi="宋体"/>
                <w:b/>
                <w:bCs/>
                <w:color w:val="auto"/>
                <w:sz w:val="22"/>
                <w:szCs w:val="22"/>
              </w:rPr>
            </w:pPr>
          </w:p>
        </w:tc>
        <w:tc>
          <w:tcPr>
            <w:tcW w:w="2335" w:type="dxa"/>
            <w:vAlign w:val="center"/>
          </w:tcPr>
          <w:p>
            <w:pPr>
              <w:spacing w:line="380" w:lineRule="exact"/>
              <w:jc w:val="center"/>
              <w:rPr>
                <w:rFonts w:ascii="宋体" w:hAnsi="宋体"/>
                <w:b/>
                <w:bCs/>
                <w:color w:val="auto"/>
                <w:sz w:val="22"/>
                <w:szCs w:val="22"/>
              </w:rPr>
            </w:pPr>
          </w:p>
        </w:tc>
        <w:tc>
          <w:tcPr>
            <w:tcW w:w="851" w:type="dxa"/>
            <w:vAlign w:val="center"/>
          </w:tcPr>
          <w:p>
            <w:pPr>
              <w:spacing w:line="380" w:lineRule="exact"/>
              <w:jc w:val="center"/>
              <w:rPr>
                <w:rFonts w:ascii="宋体" w:hAnsi="宋体"/>
                <w:b/>
                <w:bCs/>
                <w:color w:val="auto"/>
                <w:sz w:val="22"/>
                <w:szCs w:val="22"/>
              </w:rPr>
            </w:pPr>
          </w:p>
        </w:tc>
        <w:tc>
          <w:tcPr>
            <w:tcW w:w="1275" w:type="dxa"/>
            <w:vAlign w:val="center"/>
          </w:tcPr>
          <w:p>
            <w:pPr>
              <w:spacing w:line="380" w:lineRule="exact"/>
              <w:jc w:val="center"/>
              <w:rPr>
                <w:rFonts w:ascii="宋体" w:hAnsi="宋体"/>
                <w:b/>
                <w:bCs/>
                <w:color w:val="auto"/>
                <w:sz w:val="22"/>
                <w:szCs w:val="22"/>
              </w:rPr>
            </w:pPr>
          </w:p>
        </w:tc>
        <w:tc>
          <w:tcPr>
            <w:tcW w:w="1560" w:type="dxa"/>
            <w:vAlign w:val="center"/>
          </w:tcPr>
          <w:p>
            <w:pPr>
              <w:spacing w:line="380" w:lineRule="exact"/>
              <w:jc w:val="center"/>
              <w:rPr>
                <w:rFonts w:ascii="宋体" w:hAnsi="宋体"/>
                <w:b/>
                <w:bCs/>
                <w:color w:val="auto"/>
                <w:sz w:val="22"/>
                <w:szCs w:val="22"/>
              </w:rPr>
            </w:pPr>
          </w:p>
        </w:tc>
        <w:tc>
          <w:tcPr>
            <w:tcW w:w="1559" w:type="dxa"/>
            <w:vAlign w:val="center"/>
          </w:tcPr>
          <w:p>
            <w:pPr>
              <w:spacing w:line="380" w:lineRule="exact"/>
              <w:jc w:val="center"/>
              <w:rPr>
                <w:rFonts w:ascii="宋体" w:hAnsi="宋体"/>
                <w:b/>
                <w:bCs/>
                <w:color w:val="auto"/>
                <w:sz w:val="22"/>
                <w:szCs w:val="22"/>
              </w:rPr>
            </w:pPr>
          </w:p>
        </w:tc>
        <w:tc>
          <w:tcPr>
            <w:tcW w:w="1625" w:type="dxa"/>
            <w:vAlign w:val="center"/>
          </w:tcPr>
          <w:p>
            <w:pPr>
              <w:spacing w:line="380" w:lineRule="exact"/>
              <w:jc w:val="center"/>
              <w:rPr>
                <w:rFonts w:ascii="宋体" w:hAnsi="宋体"/>
                <w:b/>
                <w:bCs/>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851" w:type="dxa"/>
            <w:vAlign w:val="center"/>
          </w:tcPr>
          <w:p>
            <w:pPr>
              <w:spacing w:line="380" w:lineRule="exact"/>
              <w:jc w:val="center"/>
              <w:rPr>
                <w:rFonts w:ascii="宋体" w:hAnsi="宋体"/>
                <w:b/>
                <w:bCs/>
                <w:color w:val="auto"/>
                <w:sz w:val="22"/>
                <w:szCs w:val="22"/>
              </w:rPr>
            </w:pPr>
          </w:p>
        </w:tc>
        <w:tc>
          <w:tcPr>
            <w:tcW w:w="2335" w:type="dxa"/>
            <w:vAlign w:val="center"/>
          </w:tcPr>
          <w:p>
            <w:pPr>
              <w:spacing w:line="380" w:lineRule="exact"/>
              <w:jc w:val="center"/>
              <w:rPr>
                <w:rFonts w:ascii="宋体" w:hAnsi="宋体"/>
                <w:b/>
                <w:bCs/>
                <w:color w:val="auto"/>
                <w:sz w:val="22"/>
                <w:szCs w:val="22"/>
              </w:rPr>
            </w:pPr>
          </w:p>
        </w:tc>
        <w:tc>
          <w:tcPr>
            <w:tcW w:w="851" w:type="dxa"/>
            <w:vAlign w:val="center"/>
          </w:tcPr>
          <w:p>
            <w:pPr>
              <w:spacing w:line="380" w:lineRule="exact"/>
              <w:jc w:val="center"/>
              <w:rPr>
                <w:rFonts w:ascii="宋体" w:hAnsi="宋体"/>
                <w:b/>
                <w:bCs/>
                <w:color w:val="auto"/>
                <w:sz w:val="22"/>
                <w:szCs w:val="22"/>
              </w:rPr>
            </w:pPr>
          </w:p>
        </w:tc>
        <w:tc>
          <w:tcPr>
            <w:tcW w:w="1275" w:type="dxa"/>
            <w:vAlign w:val="center"/>
          </w:tcPr>
          <w:p>
            <w:pPr>
              <w:spacing w:line="380" w:lineRule="exact"/>
              <w:jc w:val="center"/>
              <w:rPr>
                <w:rFonts w:ascii="宋体" w:hAnsi="宋体"/>
                <w:b/>
                <w:bCs/>
                <w:color w:val="auto"/>
                <w:sz w:val="22"/>
                <w:szCs w:val="22"/>
              </w:rPr>
            </w:pPr>
          </w:p>
        </w:tc>
        <w:tc>
          <w:tcPr>
            <w:tcW w:w="1560" w:type="dxa"/>
            <w:vAlign w:val="center"/>
          </w:tcPr>
          <w:p>
            <w:pPr>
              <w:spacing w:line="380" w:lineRule="exact"/>
              <w:jc w:val="center"/>
              <w:rPr>
                <w:rFonts w:ascii="宋体" w:hAnsi="宋体"/>
                <w:b/>
                <w:bCs/>
                <w:color w:val="auto"/>
                <w:sz w:val="22"/>
                <w:szCs w:val="22"/>
              </w:rPr>
            </w:pPr>
          </w:p>
        </w:tc>
        <w:tc>
          <w:tcPr>
            <w:tcW w:w="1559" w:type="dxa"/>
            <w:vAlign w:val="center"/>
          </w:tcPr>
          <w:p>
            <w:pPr>
              <w:spacing w:line="380" w:lineRule="exact"/>
              <w:jc w:val="center"/>
              <w:rPr>
                <w:rFonts w:ascii="宋体" w:hAnsi="宋体"/>
                <w:b/>
                <w:bCs/>
                <w:color w:val="auto"/>
                <w:sz w:val="22"/>
                <w:szCs w:val="22"/>
              </w:rPr>
            </w:pPr>
          </w:p>
        </w:tc>
        <w:tc>
          <w:tcPr>
            <w:tcW w:w="1625" w:type="dxa"/>
            <w:vAlign w:val="center"/>
          </w:tcPr>
          <w:p>
            <w:pPr>
              <w:spacing w:line="380" w:lineRule="exact"/>
              <w:jc w:val="center"/>
              <w:rPr>
                <w:rFonts w:ascii="宋体" w:hAnsi="宋体"/>
                <w:b/>
                <w:bCs/>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851" w:type="dxa"/>
            <w:vAlign w:val="center"/>
          </w:tcPr>
          <w:p>
            <w:pPr>
              <w:spacing w:line="380" w:lineRule="exact"/>
              <w:jc w:val="center"/>
              <w:rPr>
                <w:rFonts w:ascii="宋体" w:hAnsi="宋体"/>
                <w:b/>
                <w:bCs/>
                <w:color w:val="auto"/>
                <w:sz w:val="22"/>
                <w:szCs w:val="22"/>
              </w:rPr>
            </w:pPr>
          </w:p>
        </w:tc>
        <w:tc>
          <w:tcPr>
            <w:tcW w:w="2335" w:type="dxa"/>
            <w:vAlign w:val="center"/>
          </w:tcPr>
          <w:p>
            <w:pPr>
              <w:spacing w:line="380" w:lineRule="exact"/>
              <w:jc w:val="center"/>
              <w:rPr>
                <w:rFonts w:ascii="宋体" w:hAnsi="宋体"/>
                <w:b/>
                <w:bCs/>
                <w:color w:val="auto"/>
                <w:sz w:val="22"/>
                <w:szCs w:val="22"/>
              </w:rPr>
            </w:pPr>
          </w:p>
        </w:tc>
        <w:tc>
          <w:tcPr>
            <w:tcW w:w="851" w:type="dxa"/>
            <w:vAlign w:val="center"/>
          </w:tcPr>
          <w:p>
            <w:pPr>
              <w:spacing w:line="380" w:lineRule="exact"/>
              <w:jc w:val="center"/>
              <w:rPr>
                <w:rFonts w:ascii="宋体" w:hAnsi="宋体"/>
                <w:b/>
                <w:bCs/>
                <w:color w:val="auto"/>
                <w:sz w:val="22"/>
                <w:szCs w:val="22"/>
              </w:rPr>
            </w:pPr>
          </w:p>
        </w:tc>
        <w:tc>
          <w:tcPr>
            <w:tcW w:w="1275" w:type="dxa"/>
            <w:vAlign w:val="center"/>
          </w:tcPr>
          <w:p>
            <w:pPr>
              <w:spacing w:line="380" w:lineRule="exact"/>
              <w:jc w:val="center"/>
              <w:rPr>
                <w:rFonts w:ascii="宋体" w:hAnsi="宋体"/>
                <w:b/>
                <w:bCs/>
                <w:color w:val="auto"/>
                <w:sz w:val="22"/>
                <w:szCs w:val="22"/>
              </w:rPr>
            </w:pPr>
          </w:p>
        </w:tc>
        <w:tc>
          <w:tcPr>
            <w:tcW w:w="1560" w:type="dxa"/>
            <w:vAlign w:val="center"/>
          </w:tcPr>
          <w:p>
            <w:pPr>
              <w:spacing w:line="380" w:lineRule="exact"/>
              <w:jc w:val="center"/>
              <w:rPr>
                <w:rFonts w:ascii="宋体" w:hAnsi="宋体"/>
                <w:b/>
                <w:bCs/>
                <w:color w:val="auto"/>
                <w:sz w:val="22"/>
                <w:szCs w:val="22"/>
              </w:rPr>
            </w:pPr>
          </w:p>
        </w:tc>
        <w:tc>
          <w:tcPr>
            <w:tcW w:w="1559" w:type="dxa"/>
            <w:vAlign w:val="center"/>
          </w:tcPr>
          <w:p>
            <w:pPr>
              <w:spacing w:line="380" w:lineRule="exact"/>
              <w:jc w:val="center"/>
              <w:rPr>
                <w:rFonts w:ascii="宋体" w:hAnsi="宋体"/>
                <w:b/>
                <w:bCs/>
                <w:color w:val="auto"/>
                <w:sz w:val="22"/>
                <w:szCs w:val="22"/>
              </w:rPr>
            </w:pPr>
          </w:p>
        </w:tc>
        <w:tc>
          <w:tcPr>
            <w:tcW w:w="1625" w:type="dxa"/>
            <w:vAlign w:val="center"/>
          </w:tcPr>
          <w:p>
            <w:pPr>
              <w:spacing w:line="380" w:lineRule="exact"/>
              <w:jc w:val="center"/>
              <w:rPr>
                <w:rFonts w:ascii="宋体" w:hAnsi="宋体"/>
                <w:b/>
                <w:bCs/>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851" w:type="dxa"/>
            <w:vAlign w:val="center"/>
          </w:tcPr>
          <w:p>
            <w:pPr>
              <w:spacing w:line="380" w:lineRule="exact"/>
              <w:jc w:val="center"/>
              <w:rPr>
                <w:rFonts w:ascii="宋体" w:hAnsi="宋体"/>
                <w:b/>
                <w:bCs/>
                <w:color w:val="auto"/>
                <w:sz w:val="22"/>
                <w:szCs w:val="22"/>
              </w:rPr>
            </w:pPr>
          </w:p>
        </w:tc>
        <w:tc>
          <w:tcPr>
            <w:tcW w:w="2335" w:type="dxa"/>
            <w:vAlign w:val="center"/>
          </w:tcPr>
          <w:p>
            <w:pPr>
              <w:spacing w:line="380" w:lineRule="exact"/>
              <w:jc w:val="center"/>
              <w:rPr>
                <w:rFonts w:ascii="宋体" w:hAnsi="宋体"/>
                <w:b/>
                <w:bCs/>
                <w:color w:val="auto"/>
                <w:sz w:val="22"/>
                <w:szCs w:val="22"/>
              </w:rPr>
            </w:pPr>
          </w:p>
        </w:tc>
        <w:tc>
          <w:tcPr>
            <w:tcW w:w="851" w:type="dxa"/>
            <w:vAlign w:val="center"/>
          </w:tcPr>
          <w:p>
            <w:pPr>
              <w:spacing w:line="380" w:lineRule="exact"/>
              <w:jc w:val="center"/>
              <w:rPr>
                <w:rFonts w:ascii="宋体" w:hAnsi="宋体"/>
                <w:b/>
                <w:bCs/>
                <w:color w:val="auto"/>
                <w:sz w:val="22"/>
                <w:szCs w:val="22"/>
              </w:rPr>
            </w:pPr>
          </w:p>
        </w:tc>
        <w:tc>
          <w:tcPr>
            <w:tcW w:w="1275" w:type="dxa"/>
            <w:vAlign w:val="center"/>
          </w:tcPr>
          <w:p>
            <w:pPr>
              <w:spacing w:line="380" w:lineRule="exact"/>
              <w:jc w:val="center"/>
              <w:rPr>
                <w:rFonts w:ascii="宋体" w:hAnsi="宋体"/>
                <w:b/>
                <w:bCs/>
                <w:color w:val="auto"/>
                <w:sz w:val="22"/>
                <w:szCs w:val="22"/>
              </w:rPr>
            </w:pPr>
          </w:p>
        </w:tc>
        <w:tc>
          <w:tcPr>
            <w:tcW w:w="1560" w:type="dxa"/>
            <w:vAlign w:val="center"/>
          </w:tcPr>
          <w:p>
            <w:pPr>
              <w:spacing w:line="380" w:lineRule="exact"/>
              <w:jc w:val="center"/>
              <w:rPr>
                <w:rFonts w:ascii="宋体" w:hAnsi="宋体"/>
                <w:b/>
                <w:bCs/>
                <w:color w:val="auto"/>
                <w:sz w:val="22"/>
                <w:szCs w:val="22"/>
              </w:rPr>
            </w:pPr>
          </w:p>
        </w:tc>
        <w:tc>
          <w:tcPr>
            <w:tcW w:w="1559" w:type="dxa"/>
            <w:vAlign w:val="center"/>
          </w:tcPr>
          <w:p>
            <w:pPr>
              <w:spacing w:line="380" w:lineRule="exact"/>
              <w:jc w:val="center"/>
              <w:rPr>
                <w:rFonts w:ascii="宋体" w:hAnsi="宋体"/>
                <w:b/>
                <w:bCs/>
                <w:color w:val="auto"/>
                <w:sz w:val="22"/>
                <w:szCs w:val="22"/>
              </w:rPr>
            </w:pPr>
          </w:p>
        </w:tc>
        <w:tc>
          <w:tcPr>
            <w:tcW w:w="1625" w:type="dxa"/>
            <w:vAlign w:val="center"/>
          </w:tcPr>
          <w:p>
            <w:pPr>
              <w:spacing w:line="380" w:lineRule="exact"/>
              <w:jc w:val="center"/>
              <w:rPr>
                <w:rFonts w:ascii="宋体" w:hAnsi="宋体"/>
                <w:b/>
                <w:bCs/>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851" w:type="dxa"/>
            <w:vAlign w:val="center"/>
          </w:tcPr>
          <w:p>
            <w:pPr>
              <w:spacing w:line="380" w:lineRule="exact"/>
              <w:jc w:val="center"/>
              <w:rPr>
                <w:rFonts w:ascii="宋体" w:hAnsi="宋体"/>
                <w:b/>
                <w:bCs/>
                <w:color w:val="auto"/>
                <w:sz w:val="22"/>
                <w:szCs w:val="22"/>
              </w:rPr>
            </w:pPr>
          </w:p>
        </w:tc>
        <w:tc>
          <w:tcPr>
            <w:tcW w:w="2335" w:type="dxa"/>
            <w:vAlign w:val="center"/>
          </w:tcPr>
          <w:p>
            <w:pPr>
              <w:spacing w:line="380" w:lineRule="exact"/>
              <w:jc w:val="center"/>
              <w:rPr>
                <w:rFonts w:ascii="宋体" w:hAnsi="宋体"/>
                <w:b/>
                <w:bCs/>
                <w:color w:val="auto"/>
                <w:sz w:val="22"/>
                <w:szCs w:val="22"/>
              </w:rPr>
            </w:pPr>
          </w:p>
        </w:tc>
        <w:tc>
          <w:tcPr>
            <w:tcW w:w="851" w:type="dxa"/>
            <w:vAlign w:val="center"/>
          </w:tcPr>
          <w:p>
            <w:pPr>
              <w:spacing w:line="380" w:lineRule="exact"/>
              <w:jc w:val="center"/>
              <w:rPr>
                <w:rFonts w:ascii="宋体" w:hAnsi="宋体"/>
                <w:b/>
                <w:bCs/>
                <w:color w:val="auto"/>
                <w:sz w:val="22"/>
                <w:szCs w:val="22"/>
              </w:rPr>
            </w:pPr>
          </w:p>
        </w:tc>
        <w:tc>
          <w:tcPr>
            <w:tcW w:w="1275" w:type="dxa"/>
            <w:vAlign w:val="center"/>
          </w:tcPr>
          <w:p>
            <w:pPr>
              <w:spacing w:line="380" w:lineRule="exact"/>
              <w:jc w:val="center"/>
              <w:rPr>
                <w:rFonts w:ascii="宋体" w:hAnsi="宋体"/>
                <w:b/>
                <w:bCs/>
                <w:color w:val="auto"/>
                <w:sz w:val="22"/>
                <w:szCs w:val="22"/>
              </w:rPr>
            </w:pPr>
          </w:p>
        </w:tc>
        <w:tc>
          <w:tcPr>
            <w:tcW w:w="1560" w:type="dxa"/>
            <w:vAlign w:val="center"/>
          </w:tcPr>
          <w:p>
            <w:pPr>
              <w:spacing w:line="380" w:lineRule="exact"/>
              <w:jc w:val="center"/>
              <w:rPr>
                <w:rFonts w:ascii="宋体" w:hAnsi="宋体"/>
                <w:b/>
                <w:bCs/>
                <w:color w:val="auto"/>
                <w:sz w:val="22"/>
                <w:szCs w:val="22"/>
              </w:rPr>
            </w:pPr>
          </w:p>
        </w:tc>
        <w:tc>
          <w:tcPr>
            <w:tcW w:w="1559" w:type="dxa"/>
            <w:vAlign w:val="center"/>
          </w:tcPr>
          <w:p>
            <w:pPr>
              <w:spacing w:line="380" w:lineRule="exact"/>
              <w:jc w:val="center"/>
              <w:rPr>
                <w:rFonts w:ascii="宋体" w:hAnsi="宋体"/>
                <w:b/>
                <w:bCs/>
                <w:color w:val="auto"/>
                <w:sz w:val="22"/>
                <w:szCs w:val="22"/>
              </w:rPr>
            </w:pPr>
          </w:p>
        </w:tc>
        <w:tc>
          <w:tcPr>
            <w:tcW w:w="1625" w:type="dxa"/>
            <w:vAlign w:val="center"/>
          </w:tcPr>
          <w:p>
            <w:pPr>
              <w:spacing w:line="380" w:lineRule="exact"/>
              <w:jc w:val="center"/>
              <w:rPr>
                <w:rFonts w:ascii="宋体" w:hAnsi="宋体"/>
                <w:b/>
                <w:bCs/>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851" w:type="dxa"/>
            <w:vAlign w:val="center"/>
          </w:tcPr>
          <w:p>
            <w:pPr>
              <w:spacing w:line="380" w:lineRule="exact"/>
              <w:jc w:val="center"/>
              <w:rPr>
                <w:rFonts w:ascii="宋体" w:hAnsi="宋体"/>
                <w:b/>
                <w:bCs/>
                <w:color w:val="auto"/>
                <w:sz w:val="22"/>
                <w:szCs w:val="22"/>
              </w:rPr>
            </w:pPr>
          </w:p>
        </w:tc>
        <w:tc>
          <w:tcPr>
            <w:tcW w:w="2335" w:type="dxa"/>
            <w:vAlign w:val="center"/>
          </w:tcPr>
          <w:p>
            <w:pPr>
              <w:spacing w:line="380" w:lineRule="exact"/>
              <w:jc w:val="center"/>
              <w:rPr>
                <w:rFonts w:ascii="宋体" w:hAnsi="宋体"/>
                <w:b/>
                <w:bCs/>
                <w:color w:val="auto"/>
                <w:sz w:val="22"/>
                <w:szCs w:val="22"/>
              </w:rPr>
            </w:pPr>
          </w:p>
        </w:tc>
        <w:tc>
          <w:tcPr>
            <w:tcW w:w="851" w:type="dxa"/>
            <w:vAlign w:val="center"/>
          </w:tcPr>
          <w:p>
            <w:pPr>
              <w:spacing w:line="380" w:lineRule="exact"/>
              <w:jc w:val="center"/>
              <w:rPr>
                <w:rFonts w:ascii="宋体" w:hAnsi="宋体"/>
                <w:b/>
                <w:bCs/>
                <w:color w:val="auto"/>
                <w:sz w:val="22"/>
                <w:szCs w:val="22"/>
              </w:rPr>
            </w:pPr>
          </w:p>
        </w:tc>
        <w:tc>
          <w:tcPr>
            <w:tcW w:w="1275" w:type="dxa"/>
            <w:vAlign w:val="center"/>
          </w:tcPr>
          <w:p>
            <w:pPr>
              <w:spacing w:line="380" w:lineRule="exact"/>
              <w:jc w:val="center"/>
              <w:rPr>
                <w:rFonts w:ascii="宋体" w:hAnsi="宋体"/>
                <w:b/>
                <w:bCs/>
                <w:color w:val="auto"/>
                <w:sz w:val="22"/>
                <w:szCs w:val="22"/>
              </w:rPr>
            </w:pPr>
          </w:p>
        </w:tc>
        <w:tc>
          <w:tcPr>
            <w:tcW w:w="1560" w:type="dxa"/>
            <w:vAlign w:val="center"/>
          </w:tcPr>
          <w:p>
            <w:pPr>
              <w:spacing w:line="380" w:lineRule="exact"/>
              <w:jc w:val="center"/>
              <w:rPr>
                <w:rFonts w:ascii="宋体" w:hAnsi="宋体"/>
                <w:b/>
                <w:bCs/>
                <w:color w:val="auto"/>
                <w:sz w:val="22"/>
                <w:szCs w:val="22"/>
              </w:rPr>
            </w:pPr>
          </w:p>
        </w:tc>
        <w:tc>
          <w:tcPr>
            <w:tcW w:w="1559" w:type="dxa"/>
            <w:vAlign w:val="center"/>
          </w:tcPr>
          <w:p>
            <w:pPr>
              <w:spacing w:line="380" w:lineRule="exact"/>
              <w:jc w:val="center"/>
              <w:rPr>
                <w:rFonts w:ascii="宋体" w:hAnsi="宋体"/>
                <w:b/>
                <w:bCs/>
                <w:color w:val="auto"/>
                <w:sz w:val="22"/>
                <w:szCs w:val="22"/>
              </w:rPr>
            </w:pPr>
          </w:p>
        </w:tc>
        <w:tc>
          <w:tcPr>
            <w:tcW w:w="1625" w:type="dxa"/>
            <w:vAlign w:val="center"/>
          </w:tcPr>
          <w:p>
            <w:pPr>
              <w:spacing w:line="380" w:lineRule="exact"/>
              <w:jc w:val="center"/>
              <w:rPr>
                <w:rFonts w:ascii="宋体" w:hAnsi="宋体"/>
                <w:b/>
                <w:bCs/>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851" w:type="dxa"/>
            <w:vAlign w:val="center"/>
          </w:tcPr>
          <w:p>
            <w:pPr>
              <w:spacing w:line="380" w:lineRule="exact"/>
              <w:jc w:val="center"/>
              <w:rPr>
                <w:rFonts w:ascii="宋体" w:hAnsi="宋体"/>
                <w:b/>
                <w:bCs/>
                <w:color w:val="auto"/>
                <w:sz w:val="22"/>
                <w:szCs w:val="22"/>
              </w:rPr>
            </w:pPr>
          </w:p>
        </w:tc>
        <w:tc>
          <w:tcPr>
            <w:tcW w:w="2335" w:type="dxa"/>
            <w:vAlign w:val="center"/>
          </w:tcPr>
          <w:p>
            <w:pPr>
              <w:spacing w:line="380" w:lineRule="exact"/>
              <w:jc w:val="center"/>
              <w:rPr>
                <w:rFonts w:ascii="宋体" w:hAnsi="宋体"/>
                <w:b/>
                <w:bCs/>
                <w:color w:val="auto"/>
                <w:sz w:val="22"/>
                <w:szCs w:val="22"/>
              </w:rPr>
            </w:pPr>
          </w:p>
        </w:tc>
        <w:tc>
          <w:tcPr>
            <w:tcW w:w="851" w:type="dxa"/>
            <w:vAlign w:val="center"/>
          </w:tcPr>
          <w:p>
            <w:pPr>
              <w:spacing w:line="380" w:lineRule="exact"/>
              <w:jc w:val="center"/>
              <w:rPr>
                <w:rFonts w:ascii="宋体" w:hAnsi="宋体"/>
                <w:b/>
                <w:bCs/>
                <w:color w:val="auto"/>
                <w:sz w:val="22"/>
                <w:szCs w:val="22"/>
              </w:rPr>
            </w:pPr>
          </w:p>
        </w:tc>
        <w:tc>
          <w:tcPr>
            <w:tcW w:w="1275" w:type="dxa"/>
            <w:vAlign w:val="center"/>
          </w:tcPr>
          <w:p>
            <w:pPr>
              <w:spacing w:line="380" w:lineRule="exact"/>
              <w:jc w:val="center"/>
              <w:rPr>
                <w:rFonts w:ascii="宋体" w:hAnsi="宋体"/>
                <w:b/>
                <w:bCs/>
                <w:color w:val="auto"/>
                <w:sz w:val="22"/>
                <w:szCs w:val="22"/>
              </w:rPr>
            </w:pPr>
          </w:p>
        </w:tc>
        <w:tc>
          <w:tcPr>
            <w:tcW w:w="1560" w:type="dxa"/>
            <w:vAlign w:val="center"/>
          </w:tcPr>
          <w:p>
            <w:pPr>
              <w:spacing w:line="380" w:lineRule="exact"/>
              <w:jc w:val="center"/>
              <w:rPr>
                <w:rFonts w:ascii="宋体" w:hAnsi="宋体"/>
                <w:b/>
                <w:bCs/>
                <w:color w:val="auto"/>
                <w:sz w:val="22"/>
                <w:szCs w:val="22"/>
              </w:rPr>
            </w:pPr>
          </w:p>
        </w:tc>
        <w:tc>
          <w:tcPr>
            <w:tcW w:w="1559" w:type="dxa"/>
            <w:vAlign w:val="center"/>
          </w:tcPr>
          <w:p>
            <w:pPr>
              <w:spacing w:line="380" w:lineRule="exact"/>
              <w:jc w:val="center"/>
              <w:rPr>
                <w:rFonts w:ascii="宋体" w:hAnsi="宋体"/>
                <w:b/>
                <w:bCs/>
                <w:color w:val="auto"/>
                <w:sz w:val="22"/>
                <w:szCs w:val="22"/>
              </w:rPr>
            </w:pPr>
          </w:p>
        </w:tc>
        <w:tc>
          <w:tcPr>
            <w:tcW w:w="1625" w:type="dxa"/>
            <w:vAlign w:val="center"/>
          </w:tcPr>
          <w:p>
            <w:pPr>
              <w:spacing w:line="380" w:lineRule="exact"/>
              <w:jc w:val="center"/>
              <w:rPr>
                <w:rFonts w:ascii="宋体" w:hAnsi="宋体"/>
                <w:b/>
                <w:bCs/>
                <w:color w:val="auto"/>
                <w:sz w:val="22"/>
                <w:szCs w:val="22"/>
              </w:rPr>
            </w:pPr>
          </w:p>
        </w:tc>
      </w:tr>
    </w:tbl>
    <w:p>
      <w:pPr>
        <w:spacing w:line="400" w:lineRule="atLeast"/>
        <w:jc w:val="center"/>
        <w:rPr>
          <w:rFonts w:ascii="宋体" w:hAnsi="宋体" w:cs="Arial"/>
          <w:color w:val="auto"/>
          <w:sz w:val="22"/>
          <w:szCs w:val="22"/>
        </w:rPr>
      </w:pPr>
    </w:p>
    <w:p>
      <w:pPr>
        <w:spacing w:line="500" w:lineRule="exact"/>
        <w:rPr>
          <w:rFonts w:ascii="宋体" w:hAnsi="宋体" w:cs="Arial"/>
          <w:color w:val="auto"/>
          <w:sz w:val="22"/>
          <w:szCs w:val="22"/>
        </w:rPr>
      </w:pPr>
      <w:r>
        <w:rPr>
          <w:rFonts w:hint="eastAsia" w:ascii="宋体" w:hAnsi="宋体" w:cs="Arial"/>
          <w:color w:val="auto"/>
          <w:sz w:val="22"/>
          <w:szCs w:val="22"/>
        </w:rPr>
        <w:t>注：</w:t>
      </w:r>
    </w:p>
    <w:p>
      <w:pPr>
        <w:spacing w:line="500" w:lineRule="exact"/>
        <w:rPr>
          <w:rFonts w:ascii="宋体" w:hAnsi="宋体" w:cs="Arial"/>
          <w:color w:val="auto"/>
          <w:sz w:val="22"/>
          <w:szCs w:val="22"/>
        </w:rPr>
      </w:pPr>
      <w:r>
        <w:rPr>
          <w:rFonts w:hint="eastAsia" w:ascii="宋体" w:hAnsi="宋体" w:cs="Arial"/>
          <w:color w:val="auto"/>
          <w:sz w:val="22"/>
          <w:szCs w:val="22"/>
        </w:rPr>
        <w:t>1. 此表仅提供了表格形式，投标人应根据需要准备足够数量的表格来填写；</w:t>
      </w:r>
    </w:p>
    <w:p>
      <w:pPr>
        <w:tabs>
          <w:tab w:val="left" w:pos="5355"/>
        </w:tabs>
        <w:spacing w:line="430" w:lineRule="exact"/>
        <w:rPr>
          <w:rFonts w:ascii="宋体" w:hAnsi="宋体"/>
          <w:color w:val="auto"/>
          <w:sz w:val="22"/>
          <w:szCs w:val="22"/>
        </w:rPr>
      </w:pPr>
      <w:r>
        <w:rPr>
          <w:rFonts w:hint="eastAsia" w:ascii="宋体" w:hAnsi="宋体"/>
          <w:color w:val="auto"/>
          <w:sz w:val="22"/>
          <w:szCs w:val="22"/>
        </w:rPr>
        <w:t>2</w:t>
      </w:r>
      <w:r>
        <w:rPr>
          <w:rFonts w:hint="eastAsia" w:ascii="宋体" w:hAnsi="宋体" w:cs="Arial"/>
          <w:color w:val="auto"/>
          <w:sz w:val="22"/>
          <w:szCs w:val="22"/>
        </w:rPr>
        <w:t xml:space="preserve">. </w:t>
      </w:r>
      <w:r>
        <w:rPr>
          <w:rFonts w:hint="eastAsia" w:ascii="宋体" w:hAnsi="宋体"/>
          <w:b/>
          <w:color w:val="auto"/>
          <w:sz w:val="22"/>
          <w:szCs w:val="22"/>
        </w:rPr>
        <w:t>有效业绩界定需同时满足以下要求，否则评审是不予认可：</w:t>
      </w:r>
    </w:p>
    <w:p>
      <w:pPr>
        <w:numPr>
          <w:ilvl w:val="2"/>
          <w:numId w:val="37"/>
        </w:numPr>
        <w:spacing w:line="430" w:lineRule="exact"/>
        <w:ind w:left="851"/>
        <w:rPr>
          <w:rFonts w:ascii="宋体" w:hAnsi="宋体"/>
          <w:b/>
          <w:color w:val="auto"/>
          <w:sz w:val="22"/>
          <w:szCs w:val="22"/>
        </w:rPr>
      </w:pPr>
      <w:r>
        <w:rPr>
          <w:rFonts w:hint="eastAsia" w:ascii="宋体" w:hAnsi="宋体"/>
          <w:b/>
          <w:color w:val="auto"/>
          <w:sz w:val="22"/>
          <w:szCs w:val="22"/>
        </w:rPr>
        <w:t>投标人需提供业绩证明材料，以合同为准；</w:t>
      </w:r>
    </w:p>
    <w:p>
      <w:pPr>
        <w:numPr>
          <w:ilvl w:val="2"/>
          <w:numId w:val="37"/>
        </w:numPr>
        <w:spacing w:line="430" w:lineRule="exact"/>
        <w:ind w:left="851"/>
        <w:rPr>
          <w:rFonts w:ascii="宋体" w:hAnsi="宋体"/>
          <w:b/>
          <w:color w:val="auto"/>
          <w:sz w:val="22"/>
          <w:szCs w:val="22"/>
        </w:rPr>
      </w:pPr>
      <w:r>
        <w:rPr>
          <w:rFonts w:hint="eastAsia" w:ascii="宋体" w:hAnsi="宋体"/>
          <w:b/>
          <w:color w:val="auto"/>
          <w:sz w:val="22"/>
          <w:szCs w:val="22"/>
        </w:rPr>
        <w:t>业绩需为2017年1月1日至今的业绩，合同内需体现相关信息；</w:t>
      </w:r>
    </w:p>
    <w:p>
      <w:pPr>
        <w:numPr>
          <w:ilvl w:val="2"/>
          <w:numId w:val="37"/>
        </w:numPr>
        <w:spacing w:line="430" w:lineRule="exact"/>
        <w:ind w:left="851"/>
        <w:rPr>
          <w:rFonts w:ascii="宋体" w:hAnsi="宋体"/>
          <w:b/>
          <w:color w:val="auto"/>
          <w:sz w:val="22"/>
          <w:szCs w:val="22"/>
        </w:rPr>
      </w:pPr>
      <w:r>
        <w:rPr>
          <w:rFonts w:hint="eastAsia" w:ascii="宋体" w:hAnsi="宋体"/>
          <w:b/>
          <w:color w:val="auto"/>
          <w:sz w:val="22"/>
          <w:szCs w:val="22"/>
        </w:rPr>
        <w:t>类似业绩指</w:t>
      </w:r>
      <w:r>
        <w:rPr>
          <w:rFonts w:hint="eastAsia" w:ascii="宋体" w:hAnsi="宋体"/>
          <w:b/>
          <w:color w:val="auto"/>
          <w:sz w:val="22"/>
          <w:szCs w:val="22"/>
          <w:lang w:eastAsia="zh-CN"/>
        </w:rPr>
        <w:t>皮卡车采购</w:t>
      </w:r>
      <w:r>
        <w:rPr>
          <w:rFonts w:hint="eastAsia" w:ascii="宋体" w:hAnsi="宋体"/>
          <w:b/>
          <w:color w:val="auto"/>
          <w:sz w:val="22"/>
          <w:szCs w:val="22"/>
        </w:rPr>
        <w:t>业绩，合同内需体现相关信息；</w:t>
      </w:r>
    </w:p>
    <w:p>
      <w:pPr>
        <w:spacing w:line="500" w:lineRule="exact"/>
        <w:rPr>
          <w:rFonts w:ascii="宋体" w:hAnsi="宋体" w:cs="Arial"/>
          <w:b/>
          <w:bCs/>
          <w:color w:val="000000" w:themeColor="text1"/>
          <w:sz w:val="22"/>
          <w:szCs w:val="22"/>
          <w:u w:val="single"/>
          <w14:textFill>
            <w14:solidFill>
              <w14:schemeClr w14:val="tx1"/>
            </w14:solidFill>
          </w14:textFill>
        </w:rPr>
      </w:pPr>
      <w:r>
        <w:rPr>
          <w:rFonts w:hint="eastAsia" w:ascii="宋体" w:hAnsi="宋体" w:cs="Arial"/>
          <w:b/>
          <w:bCs/>
          <w:color w:val="000000" w:themeColor="text1"/>
          <w:sz w:val="22"/>
          <w:szCs w:val="22"/>
          <w:u w:val="single"/>
          <w14:textFill>
            <w14:solidFill>
              <w14:schemeClr w14:val="tx1"/>
            </w14:solidFill>
          </w14:textFill>
        </w:rPr>
        <w:t>3.投标人不按此要求填写此项内容或未提供业绩证明材料将视为无业绩。</w:t>
      </w:r>
    </w:p>
    <w:p>
      <w:pPr>
        <w:pStyle w:val="15"/>
        <w:spacing w:line="500" w:lineRule="exact"/>
        <w:rPr>
          <w:rFonts w:hAnsi="宋体" w:cs="Arial"/>
          <w:b/>
          <w:bCs/>
          <w:color w:val="000000" w:themeColor="text1"/>
          <w:sz w:val="22"/>
          <w:szCs w:val="22"/>
          <w:u w:val="thick"/>
          <w14:textFill>
            <w14:solidFill>
              <w14:schemeClr w14:val="tx1"/>
            </w14:solidFill>
          </w14:textFill>
        </w:rPr>
      </w:pPr>
    </w:p>
    <w:p>
      <w:pPr>
        <w:spacing w:line="380" w:lineRule="exact"/>
        <w:ind w:firstLine="4400" w:firstLineChars="2000"/>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投标人全称（盖章）：</w:t>
      </w:r>
    </w:p>
    <w:p>
      <w:pPr>
        <w:spacing w:line="380" w:lineRule="exact"/>
        <w:ind w:firstLine="4400" w:firstLineChars="2000"/>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法定代表人或授权代表（签字或盖章）：</w:t>
      </w:r>
    </w:p>
    <w:p>
      <w:pPr>
        <w:spacing w:line="380" w:lineRule="exact"/>
        <w:ind w:firstLine="4400" w:firstLineChars="2000"/>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日期：  年   月  日</w:t>
      </w:r>
    </w:p>
    <w:p>
      <w:pPr>
        <w:spacing w:line="380" w:lineRule="exact"/>
        <w:rPr>
          <w:rFonts w:ascii="宋体" w:hAnsi="宋体" w:cs="Arial"/>
          <w:bCs/>
          <w:color w:val="000000" w:themeColor="text1"/>
          <w:sz w:val="24"/>
          <w14:textFill>
            <w14:solidFill>
              <w14:schemeClr w14:val="tx1"/>
            </w14:solidFill>
          </w14:textFill>
        </w:rPr>
      </w:pPr>
    </w:p>
    <w:p>
      <w:pPr>
        <w:jc w:val="left"/>
        <w:rPr>
          <w:rFonts w:ascii="宋体" w:hAnsi="宋体" w:cs="Arial"/>
          <w:b/>
          <w:bCs/>
          <w:color w:val="000000" w:themeColor="text1"/>
          <w:sz w:val="24"/>
          <w14:textFill>
            <w14:solidFill>
              <w14:schemeClr w14:val="tx1"/>
            </w14:solidFill>
          </w14:textFill>
        </w:rPr>
      </w:pPr>
    </w:p>
    <w:p>
      <w:pPr>
        <w:pStyle w:val="4"/>
        <w:rPr>
          <w:rFonts w:ascii="宋体" w:hAnsi="宋体" w:eastAsia="宋体" w:cs="Arial"/>
          <w:color w:val="000000" w:themeColor="text1"/>
          <w:sz w:val="36"/>
          <w:szCs w:val="36"/>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br w:type="page"/>
      </w:r>
      <w:bookmarkStart w:id="171" w:name="_Toc262049425"/>
      <w:bookmarkStart w:id="172" w:name="_Toc382360964"/>
      <w:bookmarkStart w:id="173" w:name="_Toc249758721"/>
      <w:bookmarkStart w:id="174" w:name="_Toc262105510"/>
      <w:bookmarkStart w:id="175" w:name="_Toc249758871"/>
      <w:r>
        <w:rPr>
          <w:rFonts w:hint="eastAsia" w:ascii="宋体" w:hAnsi="宋体" w:eastAsia="宋体" w:cs="Arial"/>
          <w:color w:val="000000" w:themeColor="text1"/>
          <w:sz w:val="36"/>
          <w:szCs w:val="36"/>
          <w14:textFill>
            <w14:solidFill>
              <w14:schemeClr w14:val="tx1"/>
            </w14:solidFill>
          </w14:textFill>
        </w:rPr>
        <w:t>第四部分   招标内容及要求</w:t>
      </w:r>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p>
    <w:p>
      <w:pPr>
        <w:spacing w:line="360" w:lineRule="auto"/>
        <w:rPr>
          <w:rFonts w:ascii="宋体" w:hAnsi="宋体"/>
          <w:b/>
          <w:bCs/>
          <w:color w:val="000000" w:themeColor="text1"/>
          <w:sz w:val="28"/>
          <w:szCs w:val="28"/>
          <w14:textFill>
            <w14:solidFill>
              <w14:schemeClr w14:val="tx1"/>
            </w14:solidFill>
          </w14:textFill>
        </w:rPr>
      </w:pPr>
    </w:p>
    <w:p>
      <w:pPr>
        <w:numPr>
          <w:ilvl w:val="1"/>
          <w:numId w:val="30"/>
        </w:numPr>
        <w:spacing w:beforeLines="50" w:afterLines="50"/>
        <w:rPr>
          <w:rFonts w:ascii="宋体" w:hAnsi="宋体"/>
          <w:b/>
          <w:bCs/>
          <w:color w:val="000000" w:themeColor="text1"/>
          <w:sz w:val="22"/>
          <w:szCs w:val="22"/>
          <w14:textFill>
            <w14:solidFill>
              <w14:schemeClr w14:val="tx1"/>
            </w14:solidFill>
          </w14:textFill>
        </w:rPr>
      </w:pPr>
      <w:r>
        <w:rPr>
          <w:rFonts w:hint="eastAsia" w:ascii="宋体" w:hAnsi="宋体"/>
          <w:b/>
          <w:bCs/>
          <w:color w:val="000000" w:themeColor="text1"/>
          <w:sz w:val="22"/>
          <w:szCs w:val="22"/>
          <w14:textFill>
            <w14:solidFill>
              <w14:schemeClr w14:val="tx1"/>
            </w14:solidFill>
          </w14:textFill>
        </w:rPr>
        <w:t>概要</w:t>
      </w:r>
    </w:p>
    <w:p>
      <w:pPr>
        <w:numPr>
          <w:ilvl w:val="2"/>
          <w:numId w:val="38"/>
        </w:numPr>
        <w:tabs>
          <w:tab w:val="left" w:pos="525"/>
          <w:tab w:val="clear" w:pos="1260"/>
        </w:tabs>
        <w:autoSpaceDE w:val="0"/>
        <w:autoSpaceDN w:val="0"/>
        <w:adjustRightInd w:val="0"/>
        <w:snapToGrid w:val="0"/>
        <w:spacing w:line="460" w:lineRule="exact"/>
        <w:ind w:left="525" w:hanging="525"/>
        <w:textAlignment w:val="bottom"/>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此技术规格书只是采购内容的一些原则性规定，并不是完整的详尽的要求，投标人有责任根据所提供产品的实际情况对系统进行科学合理的优化设计，对所提供产品的工艺、安全性、先进性负责，并符合技术规格书的要求。</w:t>
      </w:r>
    </w:p>
    <w:p>
      <w:pPr>
        <w:numPr>
          <w:ilvl w:val="2"/>
          <w:numId w:val="38"/>
        </w:numPr>
        <w:tabs>
          <w:tab w:val="left" w:pos="525"/>
          <w:tab w:val="clear" w:pos="1260"/>
        </w:tabs>
        <w:autoSpaceDE w:val="0"/>
        <w:autoSpaceDN w:val="0"/>
        <w:adjustRightInd w:val="0"/>
        <w:snapToGrid w:val="0"/>
        <w:spacing w:line="460" w:lineRule="exact"/>
        <w:ind w:left="525" w:hanging="525"/>
        <w:textAlignment w:val="bottom"/>
        <w:rPr>
          <w:rFonts w:ascii="宋体" w:hAnsi="宋体"/>
          <w:b w:val="0"/>
          <w:bCs/>
          <w:color w:val="000000" w:themeColor="text1"/>
          <w:sz w:val="22"/>
          <w:szCs w:val="22"/>
          <w14:textFill>
            <w14:solidFill>
              <w14:schemeClr w14:val="tx1"/>
            </w14:solidFill>
          </w14:textFill>
        </w:rPr>
      </w:pPr>
      <w:r>
        <w:rPr>
          <w:rFonts w:hint="eastAsia" w:ascii="宋体" w:hAnsi="宋体"/>
          <w:b w:val="0"/>
          <w:bCs/>
          <w:color w:val="000000" w:themeColor="text1"/>
          <w:sz w:val="22"/>
          <w:szCs w:val="22"/>
          <w14:textFill>
            <w14:solidFill>
              <w14:schemeClr w14:val="tx1"/>
            </w14:solidFill>
          </w14:textFill>
        </w:rPr>
        <w:t>投标人必须对全部招标内容进行投标，不允许只对其中部分内容进行投标，谢绝联合投标。</w:t>
      </w:r>
    </w:p>
    <w:p>
      <w:pPr>
        <w:numPr>
          <w:ilvl w:val="2"/>
          <w:numId w:val="38"/>
        </w:numPr>
        <w:tabs>
          <w:tab w:val="left" w:pos="525"/>
          <w:tab w:val="clear" w:pos="1260"/>
        </w:tabs>
        <w:autoSpaceDE w:val="0"/>
        <w:autoSpaceDN w:val="0"/>
        <w:adjustRightInd w:val="0"/>
        <w:snapToGrid w:val="0"/>
        <w:spacing w:line="460" w:lineRule="exact"/>
        <w:ind w:left="525" w:hanging="525"/>
        <w:textAlignment w:val="bottom"/>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所投产品如与采购要求有细微偏差，业主将有权要求制造商调整偏差，并不改变投标价格。</w:t>
      </w:r>
    </w:p>
    <w:p>
      <w:pPr>
        <w:numPr>
          <w:ilvl w:val="2"/>
          <w:numId w:val="38"/>
        </w:numPr>
        <w:tabs>
          <w:tab w:val="left" w:pos="525"/>
          <w:tab w:val="clear" w:pos="1260"/>
        </w:tabs>
        <w:autoSpaceDE w:val="0"/>
        <w:autoSpaceDN w:val="0"/>
        <w:adjustRightInd w:val="0"/>
        <w:snapToGrid w:val="0"/>
        <w:spacing w:line="460" w:lineRule="exact"/>
        <w:ind w:left="525" w:hanging="525"/>
        <w:textAlignment w:val="bottom"/>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所投</w:t>
      </w:r>
      <w:r>
        <w:rPr>
          <w:rFonts w:ascii="Arial" w:hAnsi="宋体" w:cs="Arial"/>
          <w:color w:val="000000" w:themeColor="text1"/>
          <w:sz w:val="22"/>
          <w:szCs w:val="22"/>
          <w14:textFill>
            <w14:solidFill>
              <w14:schemeClr w14:val="tx1"/>
            </w14:solidFill>
          </w14:textFill>
        </w:rPr>
        <w:t>产品在设计、制造、检验、包装运输及安装、调试、验收过程中所涉及的标准规范，如：产品标准、规范；安装标准、规范；验收标准、规范等必须完全符合相关标准及规范，并且以最新、最高的标准为执行标准</w:t>
      </w:r>
      <w:r>
        <w:rPr>
          <w:rFonts w:hint="eastAsia" w:ascii="宋体" w:hAnsi="宋体"/>
          <w:color w:val="000000" w:themeColor="text1"/>
          <w:sz w:val="22"/>
          <w:szCs w:val="22"/>
          <w14:textFill>
            <w14:solidFill>
              <w14:schemeClr w14:val="tx1"/>
            </w14:solidFill>
          </w14:textFill>
        </w:rPr>
        <w:t>。</w:t>
      </w:r>
    </w:p>
    <w:p>
      <w:pPr>
        <w:numPr>
          <w:ilvl w:val="2"/>
          <w:numId w:val="38"/>
        </w:numPr>
        <w:tabs>
          <w:tab w:val="left" w:pos="525"/>
          <w:tab w:val="clear" w:pos="1260"/>
        </w:tabs>
        <w:autoSpaceDE w:val="0"/>
        <w:autoSpaceDN w:val="0"/>
        <w:adjustRightInd w:val="0"/>
        <w:snapToGrid w:val="0"/>
        <w:spacing w:line="460" w:lineRule="exact"/>
        <w:ind w:left="525" w:hanging="525"/>
        <w:textAlignment w:val="bottom"/>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投标人须对投标文件中涉及到的专利负责，并保证不伤害招标人的利益。在法律范围内，所有文字、商标和技术侵权造成的相关费用，招标人概不负责。</w:t>
      </w:r>
    </w:p>
    <w:p>
      <w:pPr>
        <w:numPr>
          <w:ilvl w:val="1"/>
          <w:numId w:val="30"/>
        </w:numPr>
        <w:spacing w:beforeLines="50" w:afterLines="50"/>
        <w:rPr>
          <w:rFonts w:ascii="宋体" w:hAnsi="宋体"/>
          <w:b/>
          <w:bCs/>
          <w:color w:val="000000" w:themeColor="text1"/>
          <w:sz w:val="22"/>
          <w:szCs w:val="22"/>
          <w14:textFill>
            <w14:solidFill>
              <w14:schemeClr w14:val="tx1"/>
            </w14:solidFill>
          </w14:textFill>
        </w:rPr>
      </w:pPr>
      <w:r>
        <w:rPr>
          <w:rFonts w:hint="eastAsia" w:ascii="宋体" w:hAnsi="宋体"/>
          <w:b/>
          <w:bCs/>
          <w:color w:val="000000" w:themeColor="text1"/>
          <w:sz w:val="22"/>
          <w:szCs w:val="22"/>
          <w14:textFill>
            <w14:solidFill>
              <w14:schemeClr w14:val="tx1"/>
            </w14:solidFill>
          </w14:textFill>
        </w:rPr>
        <w:t>采购清单</w:t>
      </w:r>
    </w:p>
    <w:tbl>
      <w:tblPr>
        <w:tblStyle w:val="30"/>
        <w:tblW w:w="895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2158"/>
        <w:gridCol w:w="1559"/>
        <w:gridCol w:w="1134"/>
        <w:gridCol w:w="29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8" w:hRule="atLeast"/>
          <w:jc w:val="center"/>
        </w:trPr>
        <w:tc>
          <w:tcPr>
            <w:tcW w:w="1188" w:type="dxa"/>
            <w:vAlign w:val="center"/>
          </w:tcPr>
          <w:p>
            <w:pPr>
              <w:jc w:val="center"/>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序号</w:t>
            </w:r>
          </w:p>
        </w:tc>
        <w:tc>
          <w:tcPr>
            <w:tcW w:w="2158" w:type="dxa"/>
            <w:vAlign w:val="center"/>
          </w:tcPr>
          <w:p>
            <w:pPr>
              <w:jc w:val="center"/>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采购内容</w:t>
            </w:r>
          </w:p>
        </w:tc>
        <w:tc>
          <w:tcPr>
            <w:tcW w:w="1559" w:type="dxa"/>
            <w:vAlign w:val="center"/>
          </w:tcPr>
          <w:p>
            <w:pPr>
              <w:jc w:val="center"/>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数量</w:t>
            </w:r>
          </w:p>
        </w:tc>
        <w:tc>
          <w:tcPr>
            <w:tcW w:w="1134" w:type="dxa"/>
            <w:vAlign w:val="center"/>
          </w:tcPr>
          <w:p>
            <w:pPr>
              <w:jc w:val="center"/>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单位</w:t>
            </w:r>
          </w:p>
        </w:tc>
        <w:tc>
          <w:tcPr>
            <w:tcW w:w="2919" w:type="dxa"/>
            <w:vAlign w:val="center"/>
          </w:tcPr>
          <w:p>
            <w:pPr>
              <w:jc w:val="center"/>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预算金额（万元）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9" w:hRule="atLeast"/>
          <w:jc w:val="center"/>
        </w:trPr>
        <w:tc>
          <w:tcPr>
            <w:tcW w:w="1188" w:type="dxa"/>
            <w:vAlign w:val="center"/>
          </w:tcPr>
          <w:p>
            <w:pPr>
              <w:jc w:val="center"/>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1</w:t>
            </w:r>
          </w:p>
        </w:tc>
        <w:tc>
          <w:tcPr>
            <w:tcW w:w="2158" w:type="dxa"/>
            <w:vAlign w:val="center"/>
          </w:tcPr>
          <w:p>
            <w:pPr>
              <w:jc w:val="center"/>
              <w:rPr>
                <w:rFonts w:hint="eastAsia" w:ascii="宋体" w:hAnsi="宋体" w:eastAsia="宋体"/>
                <w:color w:val="000000" w:themeColor="text1"/>
                <w:sz w:val="22"/>
                <w:szCs w:val="22"/>
                <w:lang w:eastAsia="zh-CN"/>
                <w14:textFill>
                  <w14:solidFill>
                    <w14:schemeClr w14:val="tx1"/>
                  </w14:solidFill>
                </w14:textFill>
              </w:rPr>
            </w:pPr>
            <w:r>
              <w:rPr>
                <w:rFonts w:hint="eastAsia" w:ascii="宋体" w:hAnsi="宋体"/>
                <w:color w:val="000000" w:themeColor="text1"/>
                <w:sz w:val="22"/>
                <w:szCs w:val="22"/>
                <w:lang w:eastAsia="zh-CN"/>
                <w14:textFill>
                  <w14:solidFill>
                    <w14:schemeClr w14:val="tx1"/>
                  </w14:solidFill>
                </w14:textFill>
              </w:rPr>
              <w:t>皮卡车采购</w:t>
            </w:r>
          </w:p>
        </w:tc>
        <w:tc>
          <w:tcPr>
            <w:tcW w:w="1559" w:type="dxa"/>
            <w:vAlign w:val="center"/>
          </w:tcPr>
          <w:p>
            <w:pPr>
              <w:jc w:val="center"/>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8</w:t>
            </w:r>
          </w:p>
        </w:tc>
        <w:tc>
          <w:tcPr>
            <w:tcW w:w="1134" w:type="dxa"/>
            <w:vAlign w:val="center"/>
          </w:tcPr>
          <w:p>
            <w:pPr>
              <w:jc w:val="center"/>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辆</w:t>
            </w:r>
          </w:p>
        </w:tc>
        <w:tc>
          <w:tcPr>
            <w:tcW w:w="2919" w:type="dxa"/>
            <w:vAlign w:val="center"/>
          </w:tcPr>
          <w:p>
            <w:pPr>
              <w:jc w:val="center"/>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104</w:t>
            </w:r>
          </w:p>
        </w:tc>
      </w:tr>
    </w:tbl>
    <w:p>
      <w:pPr>
        <w:numPr>
          <w:ilvl w:val="1"/>
          <w:numId w:val="30"/>
        </w:numPr>
        <w:spacing w:beforeLines="50" w:afterLines="50"/>
        <w:rPr>
          <w:rFonts w:ascii="宋体" w:hAnsi="宋体"/>
          <w:b/>
          <w:bCs/>
          <w:color w:val="000000" w:themeColor="text1"/>
          <w:sz w:val="22"/>
          <w:szCs w:val="22"/>
          <w14:textFill>
            <w14:solidFill>
              <w14:schemeClr w14:val="tx1"/>
            </w14:solidFill>
          </w14:textFill>
        </w:rPr>
      </w:pPr>
      <w:bookmarkStart w:id="176" w:name="OLE_LINK1"/>
      <w:r>
        <w:rPr>
          <w:rFonts w:hint="eastAsia" w:ascii="宋体" w:hAnsi="宋体"/>
          <w:b/>
          <w:bCs/>
          <w:color w:val="000000" w:themeColor="text1"/>
          <w:sz w:val="22"/>
          <w:szCs w:val="22"/>
          <w14:textFill>
            <w14:solidFill>
              <w14:schemeClr w14:val="tx1"/>
            </w14:solidFill>
          </w14:textFill>
        </w:rPr>
        <w:t>货物规格及主要参数</w:t>
      </w:r>
      <w:bookmarkEnd w:id="176"/>
    </w:p>
    <w:p>
      <w:pPr>
        <w:widowControl/>
        <w:autoSpaceDE w:val="0"/>
        <w:autoSpaceDN w:val="0"/>
        <w:adjustRightInd w:val="0"/>
        <w:spacing w:line="460" w:lineRule="atLeast"/>
        <w:textAlignment w:val="bottom"/>
        <w:rPr>
          <w:rFonts w:ascii="宋体"/>
          <w:sz w:val="22"/>
        </w:rPr>
      </w:pPr>
      <w:r>
        <w:rPr>
          <w:rFonts w:hint="eastAsia" w:ascii="宋体"/>
          <w:sz w:val="22"/>
        </w:rPr>
        <w:t>（一）主要技术参数</w:t>
      </w:r>
    </w:p>
    <w:tbl>
      <w:tblPr>
        <w:tblStyle w:val="30"/>
        <w:tblW w:w="9259"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62"/>
        <w:gridCol w:w="1134"/>
        <w:gridCol w:w="2452"/>
        <w:gridCol w:w="2554"/>
        <w:gridCol w:w="245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jc w:val="center"/>
        </w:trPr>
        <w:tc>
          <w:tcPr>
            <w:tcW w:w="662" w:type="dxa"/>
            <w:vAlign w:val="center"/>
          </w:tcPr>
          <w:p>
            <w:pPr>
              <w:widowControl/>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序号</w:t>
            </w:r>
          </w:p>
        </w:tc>
        <w:tc>
          <w:tcPr>
            <w:tcW w:w="3586" w:type="dxa"/>
            <w:gridSpan w:val="2"/>
            <w:vAlign w:val="center"/>
          </w:tcPr>
          <w:p>
            <w:pPr>
              <w:widowControl/>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类别</w:t>
            </w:r>
          </w:p>
        </w:tc>
        <w:tc>
          <w:tcPr>
            <w:tcW w:w="5011" w:type="dxa"/>
            <w:gridSpan w:val="2"/>
            <w:vAlign w:val="center"/>
          </w:tcPr>
          <w:p>
            <w:pPr>
              <w:widowControl/>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采购配置参数要求与响应</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jc w:val="center"/>
        </w:trPr>
        <w:tc>
          <w:tcPr>
            <w:tcW w:w="662" w:type="dxa"/>
            <w:vAlign w:val="center"/>
          </w:tcPr>
          <w:p>
            <w:pPr>
              <w:widowControl/>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一</w:t>
            </w:r>
          </w:p>
        </w:tc>
        <w:tc>
          <w:tcPr>
            <w:tcW w:w="3586" w:type="dxa"/>
            <w:gridSpan w:val="2"/>
            <w:vAlign w:val="center"/>
          </w:tcPr>
          <w:p>
            <w:pPr>
              <w:widowControl/>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品牌及型号</w:t>
            </w:r>
          </w:p>
        </w:tc>
        <w:tc>
          <w:tcPr>
            <w:tcW w:w="5011" w:type="dxa"/>
            <w:gridSpan w:val="2"/>
            <w:vAlign w:val="center"/>
          </w:tcPr>
          <w:p>
            <w:pPr>
              <w:widowControl/>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（投标人填写）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jc w:val="center"/>
        </w:trPr>
        <w:tc>
          <w:tcPr>
            <w:tcW w:w="662" w:type="dxa"/>
            <w:shd w:val="clear" w:color="auto" w:fill="FFFFFF" w:themeFill="background1"/>
            <w:vAlign w:val="center"/>
          </w:tcPr>
          <w:p>
            <w:pPr>
              <w:widowControl/>
              <w:jc w:val="center"/>
              <w:rPr>
                <w:rFonts w:hint="eastAsia" w:cs="仿宋_GB2312" w:asciiTheme="minorEastAsia" w:hAnsiTheme="minorEastAsia" w:eastAsiaTheme="minorEastAsia"/>
                <w:szCs w:val="21"/>
              </w:rPr>
            </w:pPr>
            <w:r>
              <w:rPr>
                <w:rFonts w:hint="eastAsia" w:cs="仿宋_GB2312" w:asciiTheme="minorEastAsia" w:hAnsiTheme="minorEastAsia" w:eastAsiaTheme="minorEastAsia"/>
                <w:szCs w:val="21"/>
              </w:rPr>
              <w:t>二</w:t>
            </w:r>
          </w:p>
        </w:tc>
        <w:tc>
          <w:tcPr>
            <w:tcW w:w="3586" w:type="dxa"/>
            <w:gridSpan w:val="2"/>
            <w:shd w:val="clear" w:color="auto" w:fill="FFFFFF" w:themeFill="background1"/>
            <w:vAlign w:val="center"/>
          </w:tcPr>
          <w:p>
            <w:pPr>
              <w:widowControl/>
              <w:jc w:val="center"/>
              <w:rPr>
                <w:rFonts w:hint="eastAsia" w:cs="仿宋_GB2312" w:asciiTheme="minorEastAsia" w:hAnsiTheme="minorEastAsia" w:eastAsiaTheme="minorEastAsia"/>
                <w:szCs w:val="21"/>
              </w:rPr>
            </w:pPr>
            <w:r>
              <w:rPr>
                <w:rFonts w:hint="eastAsia" w:cs="仿宋_GB2312" w:asciiTheme="minorEastAsia" w:hAnsiTheme="minorEastAsia" w:eastAsiaTheme="minorEastAsia"/>
                <w:szCs w:val="21"/>
              </w:rPr>
              <w:t>▲车型</w:t>
            </w:r>
          </w:p>
        </w:tc>
        <w:tc>
          <w:tcPr>
            <w:tcW w:w="5011" w:type="dxa"/>
            <w:gridSpan w:val="2"/>
            <w:shd w:val="clear" w:color="auto" w:fill="FFFFFF" w:themeFill="background1"/>
            <w:vAlign w:val="center"/>
          </w:tcPr>
          <w:p>
            <w:pPr>
              <w:widowControl/>
              <w:jc w:val="center"/>
              <w:rPr>
                <w:rFonts w:hint="eastAsia" w:cs="仿宋_GB2312" w:asciiTheme="minorEastAsia" w:hAnsiTheme="minorEastAsia" w:eastAsiaTheme="minorEastAsia"/>
                <w:szCs w:val="21"/>
                <w:lang w:eastAsia="zh-CN"/>
              </w:rPr>
            </w:pPr>
            <w:r>
              <w:rPr>
                <w:rFonts w:hint="eastAsia" w:cs="仿宋_GB2312" w:asciiTheme="minorEastAsia" w:hAnsiTheme="minorEastAsia" w:eastAsiaTheme="minorEastAsia"/>
                <w:szCs w:val="21"/>
                <w:lang w:eastAsia="zh-CN"/>
              </w:rPr>
              <w:t>皮卡车采购</w:t>
            </w:r>
          </w:p>
          <w:p>
            <w:pPr>
              <w:widowControl/>
              <w:jc w:val="center"/>
              <w:rPr>
                <w:rFonts w:hint="eastAsia" w:cs="仿宋_GB2312" w:asciiTheme="minorEastAsia" w:hAnsiTheme="minorEastAsia" w:eastAsiaTheme="minorEastAsia"/>
                <w:szCs w:val="21"/>
              </w:rPr>
            </w:pPr>
            <w:r>
              <w:rPr>
                <w:rFonts w:hint="eastAsia" w:cs="仿宋_GB2312" w:asciiTheme="minorEastAsia" w:hAnsiTheme="minorEastAsia" w:eastAsiaTheme="minorEastAsia"/>
                <w:szCs w:val="21"/>
              </w:rPr>
              <w:t>双排两驱汽油自动挡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jc w:val="center"/>
        </w:trPr>
        <w:tc>
          <w:tcPr>
            <w:tcW w:w="662" w:type="dxa"/>
            <w:shd w:val="clear" w:color="auto" w:fill="FFFFFF" w:themeFill="background1"/>
            <w:vAlign w:val="center"/>
          </w:tcPr>
          <w:p>
            <w:pPr>
              <w:widowControl/>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三</w:t>
            </w:r>
          </w:p>
        </w:tc>
        <w:tc>
          <w:tcPr>
            <w:tcW w:w="3586" w:type="dxa"/>
            <w:gridSpan w:val="2"/>
            <w:tcBorders>
              <w:right w:val="single" w:color="auto" w:sz="4" w:space="0"/>
            </w:tcBorders>
            <w:shd w:val="clear" w:color="auto" w:fill="FFFFFF" w:themeFill="background1"/>
            <w:vAlign w:val="center"/>
          </w:tcPr>
          <w:p>
            <w:pPr>
              <w:widowControl/>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具体配置</w:t>
            </w:r>
          </w:p>
        </w:tc>
        <w:tc>
          <w:tcPr>
            <w:tcW w:w="2554" w:type="dxa"/>
            <w:tcBorders>
              <w:left w:val="single" w:color="auto" w:sz="4" w:space="0"/>
            </w:tcBorders>
            <w:shd w:val="clear" w:color="auto" w:fill="FFFFFF" w:themeFill="background1"/>
            <w:vAlign w:val="center"/>
          </w:tcPr>
          <w:p>
            <w:pPr>
              <w:widowControl/>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招标配置参数要求</w:t>
            </w:r>
          </w:p>
        </w:tc>
        <w:tc>
          <w:tcPr>
            <w:tcW w:w="2457" w:type="dxa"/>
            <w:shd w:val="clear" w:color="auto" w:fill="FFFFFF" w:themeFill="background1"/>
            <w:vAlign w:val="center"/>
          </w:tcPr>
          <w:p>
            <w:pPr>
              <w:widowControl/>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投标人响应</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jc w:val="center"/>
        </w:trPr>
        <w:tc>
          <w:tcPr>
            <w:tcW w:w="662" w:type="dxa"/>
            <w:vAlign w:val="center"/>
          </w:tcPr>
          <w:p>
            <w:pPr>
              <w:widowControl/>
              <w:jc w:val="center"/>
              <w:rPr>
                <w:rFonts w:hint="eastAsia" w:cs="仿宋_GB2312" w:asciiTheme="minorEastAsia" w:hAnsiTheme="minorEastAsia" w:eastAsiaTheme="minorEastAsia"/>
                <w:szCs w:val="21"/>
              </w:rPr>
            </w:pPr>
            <w:r>
              <w:rPr>
                <w:rFonts w:hint="eastAsia" w:cs="仿宋_GB2312" w:asciiTheme="minorEastAsia" w:hAnsiTheme="minorEastAsia" w:eastAsiaTheme="minorEastAsia"/>
                <w:szCs w:val="21"/>
              </w:rPr>
              <w:t>1</w:t>
            </w:r>
          </w:p>
        </w:tc>
        <w:tc>
          <w:tcPr>
            <w:tcW w:w="1134" w:type="dxa"/>
            <w:vMerge w:val="restart"/>
            <w:vAlign w:val="center"/>
          </w:tcPr>
          <w:p>
            <w:pPr>
              <w:widowControl/>
              <w:rPr>
                <w:rFonts w:cs="仿宋_GB2312" w:asciiTheme="minorEastAsia" w:hAnsiTheme="minorEastAsia" w:eastAsiaTheme="minorEastAsia"/>
                <w:szCs w:val="21"/>
              </w:rPr>
            </w:pPr>
            <w:r>
              <w:rPr>
                <w:rFonts w:hint="eastAsia" w:cs="仿宋_GB2312" w:asciiTheme="minorEastAsia" w:hAnsiTheme="minorEastAsia" w:eastAsiaTheme="minorEastAsia"/>
                <w:szCs w:val="21"/>
              </w:rPr>
              <w:t>基本参数</w:t>
            </w:r>
          </w:p>
        </w:tc>
        <w:tc>
          <w:tcPr>
            <w:tcW w:w="2452" w:type="dxa"/>
            <w:vAlign w:val="center"/>
          </w:tcPr>
          <w:p>
            <w:pPr>
              <w:widowControl/>
              <w:jc w:val="center"/>
              <w:rPr>
                <w:rFonts w:hint="eastAsia" w:cs="仿宋_GB2312" w:asciiTheme="minorEastAsia" w:hAnsiTheme="minorEastAsia" w:eastAsiaTheme="minorEastAsia"/>
                <w:szCs w:val="21"/>
                <w:lang w:val="en-US" w:eastAsia="zh-CN"/>
              </w:rPr>
            </w:pPr>
            <w:r>
              <w:rPr>
                <w:rFonts w:hint="eastAsia" w:cs="仿宋_GB2312" w:asciiTheme="minorEastAsia" w:hAnsiTheme="minorEastAsia" w:eastAsiaTheme="minorEastAsia"/>
                <w:szCs w:val="21"/>
                <w:lang w:val="en-US" w:eastAsia="zh-CN"/>
              </w:rPr>
              <w:t>核定载客数（人）</w:t>
            </w:r>
          </w:p>
        </w:tc>
        <w:tc>
          <w:tcPr>
            <w:tcW w:w="2554" w:type="dxa"/>
            <w:vAlign w:val="center"/>
          </w:tcPr>
          <w:p>
            <w:pPr>
              <w:widowControl/>
              <w:jc w:val="center"/>
              <w:rPr>
                <w:rFonts w:hint="eastAsia" w:cs="仿宋_GB2312" w:asciiTheme="minorEastAsia" w:hAnsiTheme="minorEastAsia" w:eastAsiaTheme="minorEastAsia"/>
                <w:szCs w:val="21"/>
                <w:lang w:val="en-US" w:eastAsia="zh-CN"/>
              </w:rPr>
            </w:pPr>
            <w:r>
              <w:rPr>
                <w:rFonts w:hint="eastAsia" w:cs="仿宋_GB2312" w:asciiTheme="minorEastAsia" w:hAnsiTheme="minorEastAsia" w:eastAsiaTheme="minorEastAsia"/>
                <w:szCs w:val="21"/>
                <w:lang w:val="en-US" w:eastAsia="zh-CN"/>
              </w:rPr>
              <w:t>5</w:t>
            </w:r>
          </w:p>
        </w:tc>
        <w:tc>
          <w:tcPr>
            <w:tcW w:w="2457" w:type="dxa"/>
            <w:vAlign w:val="center"/>
          </w:tcPr>
          <w:p>
            <w:pPr>
              <w:widowControl/>
              <w:jc w:val="center"/>
              <w:rPr>
                <w:rFonts w:cs="仿宋_GB2312" w:asciiTheme="minorEastAsia" w:hAnsiTheme="minorEastAsia" w:eastAsia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jc w:val="center"/>
        </w:trPr>
        <w:tc>
          <w:tcPr>
            <w:tcW w:w="662" w:type="dxa"/>
            <w:vAlign w:val="center"/>
          </w:tcPr>
          <w:p>
            <w:pPr>
              <w:widowControl/>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2</w:t>
            </w:r>
          </w:p>
        </w:tc>
        <w:tc>
          <w:tcPr>
            <w:tcW w:w="1134" w:type="dxa"/>
            <w:vMerge w:val="continue"/>
            <w:vAlign w:val="center"/>
          </w:tcPr>
          <w:p>
            <w:pPr>
              <w:widowControl/>
              <w:rPr>
                <w:rFonts w:cs="仿宋_GB2312" w:asciiTheme="minorEastAsia" w:hAnsiTheme="minorEastAsia" w:eastAsiaTheme="minorEastAsia"/>
                <w:szCs w:val="21"/>
              </w:rPr>
            </w:pPr>
          </w:p>
        </w:tc>
        <w:tc>
          <w:tcPr>
            <w:tcW w:w="2452" w:type="dxa"/>
            <w:vAlign w:val="center"/>
          </w:tcPr>
          <w:p>
            <w:pPr>
              <w:widowControl/>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车身尺寸长（mm）</w:t>
            </w:r>
          </w:p>
        </w:tc>
        <w:tc>
          <w:tcPr>
            <w:tcW w:w="2554" w:type="dxa"/>
            <w:vAlign w:val="center"/>
          </w:tcPr>
          <w:p>
            <w:pPr>
              <w:widowControl/>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≥5300</w:t>
            </w:r>
          </w:p>
        </w:tc>
        <w:tc>
          <w:tcPr>
            <w:tcW w:w="2457" w:type="dxa"/>
            <w:vAlign w:val="center"/>
          </w:tcPr>
          <w:p>
            <w:pPr>
              <w:widowControl/>
              <w:jc w:val="center"/>
              <w:rPr>
                <w:rFonts w:cs="仿宋_GB2312" w:asciiTheme="minorEastAsia" w:hAnsiTheme="minorEastAsia" w:eastAsia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jc w:val="center"/>
        </w:trPr>
        <w:tc>
          <w:tcPr>
            <w:tcW w:w="662" w:type="dxa"/>
            <w:vAlign w:val="center"/>
          </w:tcPr>
          <w:p>
            <w:pPr>
              <w:widowControl/>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3</w:t>
            </w:r>
          </w:p>
        </w:tc>
        <w:tc>
          <w:tcPr>
            <w:tcW w:w="1134" w:type="dxa"/>
            <w:vMerge w:val="continue"/>
            <w:vAlign w:val="center"/>
          </w:tcPr>
          <w:p>
            <w:pPr>
              <w:widowControl/>
              <w:ind w:firstLine="420" w:firstLineChars="200"/>
              <w:jc w:val="center"/>
              <w:rPr>
                <w:rFonts w:cs="仿宋_GB2312" w:asciiTheme="minorEastAsia" w:hAnsiTheme="minorEastAsia" w:eastAsiaTheme="minorEastAsia"/>
                <w:szCs w:val="21"/>
              </w:rPr>
            </w:pPr>
          </w:p>
        </w:tc>
        <w:tc>
          <w:tcPr>
            <w:tcW w:w="2452" w:type="dxa"/>
            <w:tcBorders>
              <w:bottom w:val="single" w:color="auto" w:sz="4" w:space="0"/>
            </w:tcBorders>
            <w:vAlign w:val="center"/>
          </w:tcPr>
          <w:p>
            <w:pPr>
              <w:widowControl/>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车身尺寸宽（mm）</w:t>
            </w:r>
          </w:p>
        </w:tc>
        <w:tc>
          <w:tcPr>
            <w:tcW w:w="2554" w:type="dxa"/>
            <w:tcBorders>
              <w:bottom w:val="single" w:color="auto" w:sz="4" w:space="0"/>
            </w:tcBorders>
            <w:vAlign w:val="center"/>
          </w:tcPr>
          <w:p>
            <w:pPr>
              <w:widowControl/>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≥1900</w:t>
            </w:r>
          </w:p>
        </w:tc>
        <w:tc>
          <w:tcPr>
            <w:tcW w:w="2457" w:type="dxa"/>
            <w:tcBorders>
              <w:bottom w:val="single" w:color="auto" w:sz="4" w:space="0"/>
            </w:tcBorders>
            <w:vAlign w:val="center"/>
          </w:tcPr>
          <w:p>
            <w:pPr>
              <w:widowControl/>
              <w:jc w:val="center"/>
              <w:rPr>
                <w:rFonts w:cs="仿宋_GB2312" w:asciiTheme="minorEastAsia" w:hAnsiTheme="minorEastAsia" w:eastAsia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jc w:val="center"/>
        </w:trPr>
        <w:tc>
          <w:tcPr>
            <w:tcW w:w="662" w:type="dxa"/>
            <w:vAlign w:val="center"/>
          </w:tcPr>
          <w:p>
            <w:pPr>
              <w:widowControl/>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4</w:t>
            </w:r>
          </w:p>
        </w:tc>
        <w:tc>
          <w:tcPr>
            <w:tcW w:w="1134" w:type="dxa"/>
            <w:vMerge w:val="continue"/>
            <w:vAlign w:val="center"/>
          </w:tcPr>
          <w:p>
            <w:pPr>
              <w:widowControl/>
              <w:ind w:firstLine="420" w:firstLineChars="200"/>
              <w:jc w:val="center"/>
              <w:rPr>
                <w:rFonts w:cs="仿宋_GB2312" w:asciiTheme="minorEastAsia" w:hAnsiTheme="minorEastAsia" w:eastAsiaTheme="minorEastAsia"/>
                <w:szCs w:val="21"/>
              </w:rPr>
            </w:pPr>
          </w:p>
        </w:tc>
        <w:tc>
          <w:tcPr>
            <w:tcW w:w="2452" w:type="dxa"/>
            <w:tcBorders>
              <w:bottom w:val="single" w:color="auto" w:sz="4" w:space="0"/>
            </w:tcBorders>
            <w:vAlign w:val="center"/>
          </w:tcPr>
          <w:p>
            <w:pPr>
              <w:widowControl/>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车身尺寸高（mm）</w:t>
            </w:r>
          </w:p>
        </w:tc>
        <w:tc>
          <w:tcPr>
            <w:tcW w:w="2554" w:type="dxa"/>
            <w:tcBorders>
              <w:bottom w:val="single" w:color="auto" w:sz="4" w:space="0"/>
            </w:tcBorders>
            <w:vAlign w:val="center"/>
          </w:tcPr>
          <w:p>
            <w:pPr>
              <w:widowControl/>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≥1800</w:t>
            </w:r>
          </w:p>
        </w:tc>
        <w:tc>
          <w:tcPr>
            <w:tcW w:w="2457" w:type="dxa"/>
            <w:tcBorders>
              <w:bottom w:val="single" w:color="auto" w:sz="4" w:space="0"/>
            </w:tcBorders>
            <w:vAlign w:val="center"/>
          </w:tcPr>
          <w:p>
            <w:pPr>
              <w:widowControl/>
              <w:jc w:val="center"/>
              <w:rPr>
                <w:rFonts w:cs="仿宋_GB2312" w:asciiTheme="minorEastAsia" w:hAnsiTheme="minorEastAsia" w:eastAsia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jc w:val="center"/>
        </w:trPr>
        <w:tc>
          <w:tcPr>
            <w:tcW w:w="662" w:type="dxa"/>
            <w:vAlign w:val="center"/>
          </w:tcPr>
          <w:p>
            <w:pPr>
              <w:widowControl/>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5</w:t>
            </w:r>
          </w:p>
        </w:tc>
        <w:tc>
          <w:tcPr>
            <w:tcW w:w="1134" w:type="dxa"/>
            <w:vMerge w:val="continue"/>
            <w:vAlign w:val="center"/>
          </w:tcPr>
          <w:p>
            <w:pPr>
              <w:widowControl/>
              <w:ind w:firstLine="420" w:firstLineChars="200"/>
              <w:jc w:val="center"/>
              <w:rPr>
                <w:rFonts w:cs="仿宋_GB2312" w:asciiTheme="minorEastAsia" w:hAnsiTheme="minorEastAsia" w:eastAsiaTheme="minorEastAsia"/>
                <w:szCs w:val="21"/>
              </w:rPr>
            </w:pPr>
          </w:p>
        </w:tc>
        <w:tc>
          <w:tcPr>
            <w:tcW w:w="2452" w:type="dxa"/>
            <w:tcBorders>
              <w:bottom w:val="single" w:color="auto" w:sz="4" w:space="0"/>
            </w:tcBorders>
            <w:vAlign w:val="center"/>
          </w:tcPr>
          <w:p>
            <w:pPr>
              <w:widowControl/>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货箱尺寸长（mm）</w:t>
            </w:r>
          </w:p>
        </w:tc>
        <w:tc>
          <w:tcPr>
            <w:tcW w:w="2554" w:type="dxa"/>
            <w:tcBorders>
              <w:bottom w:val="single" w:color="auto" w:sz="4" w:space="0"/>
            </w:tcBorders>
            <w:vAlign w:val="center"/>
          </w:tcPr>
          <w:p>
            <w:pPr>
              <w:widowControl/>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≥1450</w:t>
            </w:r>
          </w:p>
        </w:tc>
        <w:tc>
          <w:tcPr>
            <w:tcW w:w="2457" w:type="dxa"/>
            <w:tcBorders>
              <w:bottom w:val="single" w:color="auto" w:sz="4" w:space="0"/>
            </w:tcBorders>
            <w:vAlign w:val="center"/>
          </w:tcPr>
          <w:p>
            <w:pPr>
              <w:widowControl/>
              <w:jc w:val="center"/>
              <w:rPr>
                <w:rFonts w:cs="仿宋_GB2312" w:asciiTheme="minorEastAsia" w:hAnsiTheme="minorEastAsia" w:eastAsia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jc w:val="center"/>
        </w:trPr>
        <w:tc>
          <w:tcPr>
            <w:tcW w:w="662" w:type="dxa"/>
            <w:vAlign w:val="center"/>
          </w:tcPr>
          <w:p>
            <w:pPr>
              <w:widowControl/>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6</w:t>
            </w:r>
          </w:p>
        </w:tc>
        <w:tc>
          <w:tcPr>
            <w:tcW w:w="1134" w:type="dxa"/>
            <w:vMerge w:val="continue"/>
            <w:vAlign w:val="center"/>
          </w:tcPr>
          <w:p>
            <w:pPr>
              <w:widowControl/>
              <w:ind w:firstLine="420" w:firstLineChars="200"/>
              <w:jc w:val="center"/>
              <w:rPr>
                <w:rFonts w:cs="仿宋_GB2312" w:asciiTheme="minorEastAsia" w:hAnsiTheme="minorEastAsia" w:eastAsiaTheme="minorEastAsia"/>
                <w:szCs w:val="21"/>
              </w:rPr>
            </w:pPr>
          </w:p>
        </w:tc>
        <w:tc>
          <w:tcPr>
            <w:tcW w:w="2452" w:type="dxa"/>
            <w:tcBorders>
              <w:bottom w:val="single" w:color="auto" w:sz="4" w:space="0"/>
            </w:tcBorders>
            <w:vAlign w:val="center"/>
          </w:tcPr>
          <w:p>
            <w:pPr>
              <w:widowControl/>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货箱尺寸宽（mm）</w:t>
            </w:r>
          </w:p>
        </w:tc>
        <w:tc>
          <w:tcPr>
            <w:tcW w:w="2554" w:type="dxa"/>
            <w:tcBorders>
              <w:bottom w:val="single" w:color="auto" w:sz="4" w:space="0"/>
            </w:tcBorders>
            <w:vAlign w:val="center"/>
          </w:tcPr>
          <w:p>
            <w:pPr>
              <w:widowControl/>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≥1500</w:t>
            </w:r>
          </w:p>
        </w:tc>
        <w:tc>
          <w:tcPr>
            <w:tcW w:w="2457" w:type="dxa"/>
            <w:tcBorders>
              <w:bottom w:val="single" w:color="auto" w:sz="4" w:space="0"/>
            </w:tcBorders>
            <w:vAlign w:val="center"/>
          </w:tcPr>
          <w:p>
            <w:pPr>
              <w:widowControl/>
              <w:jc w:val="center"/>
              <w:rPr>
                <w:rFonts w:cs="仿宋_GB2312" w:asciiTheme="minorEastAsia" w:hAnsiTheme="minorEastAsia" w:eastAsia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jc w:val="center"/>
        </w:trPr>
        <w:tc>
          <w:tcPr>
            <w:tcW w:w="662" w:type="dxa"/>
            <w:vAlign w:val="center"/>
          </w:tcPr>
          <w:p>
            <w:pPr>
              <w:widowControl/>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7</w:t>
            </w:r>
          </w:p>
        </w:tc>
        <w:tc>
          <w:tcPr>
            <w:tcW w:w="1134" w:type="dxa"/>
            <w:vMerge w:val="continue"/>
            <w:vAlign w:val="center"/>
          </w:tcPr>
          <w:p>
            <w:pPr>
              <w:widowControl/>
              <w:ind w:firstLine="420" w:firstLineChars="200"/>
              <w:jc w:val="center"/>
              <w:rPr>
                <w:rFonts w:cs="仿宋_GB2312" w:asciiTheme="minorEastAsia" w:hAnsiTheme="minorEastAsia" w:eastAsiaTheme="minorEastAsia"/>
                <w:szCs w:val="21"/>
              </w:rPr>
            </w:pPr>
          </w:p>
        </w:tc>
        <w:tc>
          <w:tcPr>
            <w:tcW w:w="2452" w:type="dxa"/>
            <w:tcBorders>
              <w:bottom w:val="single" w:color="auto" w:sz="4" w:space="0"/>
            </w:tcBorders>
            <w:vAlign w:val="center"/>
          </w:tcPr>
          <w:p>
            <w:pPr>
              <w:widowControl/>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货箱尺寸高（mm）</w:t>
            </w:r>
          </w:p>
        </w:tc>
        <w:tc>
          <w:tcPr>
            <w:tcW w:w="2554" w:type="dxa"/>
            <w:tcBorders>
              <w:bottom w:val="single" w:color="auto" w:sz="4" w:space="0"/>
            </w:tcBorders>
            <w:vAlign w:val="center"/>
          </w:tcPr>
          <w:p>
            <w:pPr>
              <w:widowControl/>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≥500</w:t>
            </w:r>
          </w:p>
        </w:tc>
        <w:tc>
          <w:tcPr>
            <w:tcW w:w="2457" w:type="dxa"/>
            <w:tcBorders>
              <w:bottom w:val="single" w:color="auto" w:sz="4" w:space="0"/>
            </w:tcBorders>
            <w:vAlign w:val="center"/>
          </w:tcPr>
          <w:p>
            <w:pPr>
              <w:widowControl/>
              <w:jc w:val="center"/>
              <w:rPr>
                <w:rFonts w:cs="仿宋_GB2312" w:asciiTheme="minorEastAsia" w:hAnsiTheme="minorEastAsia" w:eastAsia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jc w:val="center"/>
        </w:trPr>
        <w:tc>
          <w:tcPr>
            <w:tcW w:w="662" w:type="dxa"/>
            <w:vAlign w:val="center"/>
          </w:tcPr>
          <w:p>
            <w:pPr>
              <w:widowControl/>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8</w:t>
            </w:r>
          </w:p>
        </w:tc>
        <w:tc>
          <w:tcPr>
            <w:tcW w:w="1134" w:type="dxa"/>
            <w:vMerge w:val="continue"/>
            <w:vAlign w:val="center"/>
          </w:tcPr>
          <w:p>
            <w:pPr>
              <w:widowControl/>
              <w:ind w:firstLine="420" w:firstLineChars="200"/>
              <w:jc w:val="center"/>
              <w:rPr>
                <w:rFonts w:cs="仿宋_GB2312" w:asciiTheme="minorEastAsia" w:hAnsiTheme="minorEastAsia" w:eastAsiaTheme="minorEastAsia"/>
                <w:szCs w:val="21"/>
              </w:rPr>
            </w:pPr>
          </w:p>
        </w:tc>
        <w:tc>
          <w:tcPr>
            <w:tcW w:w="2452" w:type="dxa"/>
            <w:tcBorders>
              <w:bottom w:val="single" w:color="auto" w:sz="4" w:space="0"/>
            </w:tcBorders>
            <w:vAlign w:val="center"/>
          </w:tcPr>
          <w:p>
            <w:pPr>
              <w:widowControl/>
              <w:jc w:val="center"/>
              <w:rPr>
                <w:rFonts w:cs="仿宋_GB2312" w:asciiTheme="minorEastAsia" w:hAnsiTheme="minorEastAsia" w:eastAsiaTheme="minorEastAsia"/>
                <w:szCs w:val="21"/>
                <w:highlight w:val="none"/>
              </w:rPr>
            </w:pPr>
            <w:r>
              <w:rPr>
                <w:rFonts w:hint="eastAsia" w:cs="仿宋_GB2312" w:asciiTheme="minorEastAsia" w:hAnsiTheme="minorEastAsia" w:eastAsiaTheme="minorEastAsia"/>
                <w:szCs w:val="21"/>
                <w:highlight w:val="none"/>
              </w:rPr>
              <w:t>★轴距(mm)</w:t>
            </w:r>
          </w:p>
        </w:tc>
        <w:tc>
          <w:tcPr>
            <w:tcW w:w="2554" w:type="dxa"/>
            <w:tcBorders>
              <w:bottom w:val="single" w:color="auto" w:sz="4" w:space="0"/>
            </w:tcBorders>
            <w:vAlign w:val="center"/>
          </w:tcPr>
          <w:p>
            <w:pPr>
              <w:widowControl/>
              <w:jc w:val="center"/>
              <w:rPr>
                <w:rFonts w:cs="仿宋_GB2312" w:asciiTheme="minorEastAsia" w:hAnsiTheme="minorEastAsia" w:eastAsiaTheme="minorEastAsia"/>
                <w:szCs w:val="21"/>
                <w:highlight w:val="none"/>
              </w:rPr>
            </w:pPr>
            <w:r>
              <w:rPr>
                <w:rFonts w:hint="eastAsia" w:cs="仿宋_GB2312" w:asciiTheme="minorEastAsia" w:hAnsiTheme="minorEastAsia" w:eastAsiaTheme="minorEastAsia"/>
                <w:szCs w:val="21"/>
                <w:highlight w:val="none"/>
              </w:rPr>
              <w:t>≥</w:t>
            </w:r>
            <w:r>
              <w:rPr>
                <w:rFonts w:hint="eastAsia" w:cs="仿宋_GB2312" w:asciiTheme="minorEastAsia" w:hAnsiTheme="minorEastAsia" w:eastAsiaTheme="minorEastAsia"/>
                <w:szCs w:val="21"/>
                <w:highlight w:val="none"/>
                <w:lang w:val="en-US" w:eastAsia="zh-CN"/>
              </w:rPr>
              <w:t>30</w:t>
            </w:r>
            <w:r>
              <w:rPr>
                <w:rFonts w:hint="eastAsia" w:cs="仿宋_GB2312" w:asciiTheme="minorEastAsia" w:hAnsiTheme="minorEastAsia" w:eastAsiaTheme="minorEastAsia"/>
                <w:szCs w:val="21"/>
                <w:highlight w:val="none"/>
              </w:rPr>
              <w:t>50</w:t>
            </w:r>
          </w:p>
        </w:tc>
        <w:tc>
          <w:tcPr>
            <w:tcW w:w="2457" w:type="dxa"/>
            <w:tcBorders>
              <w:bottom w:val="single" w:color="auto" w:sz="4" w:space="0"/>
            </w:tcBorders>
            <w:vAlign w:val="center"/>
          </w:tcPr>
          <w:p>
            <w:pPr>
              <w:widowControl/>
              <w:jc w:val="center"/>
              <w:rPr>
                <w:rFonts w:cs="仿宋_GB2312" w:asciiTheme="minorEastAsia" w:hAnsiTheme="minorEastAsia" w:eastAsia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jc w:val="center"/>
        </w:trPr>
        <w:tc>
          <w:tcPr>
            <w:tcW w:w="662" w:type="dxa"/>
            <w:vAlign w:val="center"/>
          </w:tcPr>
          <w:p>
            <w:pPr>
              <w:widowControl/>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9</w:t>
            </w:r>
          </w:p>
        </w:tc>
        <w:tc>
          <w:tcPr>
            <w:tcW w:w="1134" w:type="dxa"/>
            <w:vMerge w:val="continue"/>
            <w:vAlign w:val="center"/>
          </w:tcPr>
          <w:p>
            <w:pPr>
              <w:widowControl/>
              <w:ind w:firstLine="420" w:firstLineChars="200"/>
              <w:jc w:val="center"/>
              <w:rPr>
                <w:rFonts w:cs="仿宋_GB2312" w:asciiTheme="minorEastAsia" w:hAnsiTheme="minorEastAsia" w:eastAsiaTheme="minorEastAsia"/>
                <w:szCs w:val="21"/>
              </w:rPr>
            </w:pPr>
          </w:p>
        </w:tc>
        <w:tc>
          <w:tcPr>
            <w:tcW w:w="2452" w:type="dxa"/>
            <w:tcBorders>
              <w:bottom w:val="single" w:color="auto" w:sz="4" w:space="0"/>
            </w:tcBorders>
            <w:vAlign w:val="center"/>
          </w:tcPr>
          <w:p>
            <w:pPr>
              <w:widowControl/>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最小离地间隙(mm)</w:t>
            </w:r>
          </w:p>
        </w:tc>
        <w:tc>
          <w:tcPr>
            <w:tcW w:w="2554" w:type="dxa"/>
            <w:tcBorders>
              <w:bottom w:val="single" w:color="auto" w:sz="4" w:space="0"/>
            </w:tcBorders>
            <w:vAlign w:val="center"/>
          </w:tcPr>
          <w:p>
            <w:pPr>
              <w:widowControl/>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≥200</w:t>
            </w:r>
          </w:p>
        </w:tc>
        <w:tc>
          <w:tcPr>
            <w:tcW w:w="2457" w:type="dxa"/>
            <w:tcBorders>
              <w:bottom w:val="single" w:color="auto" w:sz="4" w:space="0"/>
            </w:tcBorders>
            <w:vAlign w:val="center"/>
          </w:tcPr>
          <w:p>
            <w:pPr>
              <w:widowControl/>
              <w:ind w:firstLine="420" w:firstLineChars="200"/>
              <w:jc w:val="center"/>
              <w:rPr>
                <w:rFonts w:cs="仿宋_GB2312" w:asciiTheme="minorEastAsia" w:hAnsiTheme="minorEastAsia" w:eastAsia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jc w:val="center"/>
        </w:trPr>
        <w:tc>
          <w:tcPr>
            <w:tcW w:w="662" w:type="dxa"/>
            <w:vAlign w:val="center"/>
          </w:tcPr>
          <w:p>
            <w:pPr>
              <w:widowControl/>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10</w:t>
            </w:r>
          </w:p>
        </w:tc>
        <w:tc>
          <w:tcPr>
            <w:tcW w:w="1134" w:type="dxa"/>
            <w:vMerge w:val="continue"/>
            <w:vAlign w:val="center"/>
          </w:tcPr>
          <w:p>
            <w:pPr>
              <w:widowControl/>
              <w:ind w:firstLine="420" w:firstLineChars="200"/>
              <w:jc w:val="center"/>
              <w:rPr>
                <w:rFonts w:cs="仿宋_GB2312" w:asciiTheme="minorEastAsia" w:hAnsiTheme="minorEastAsia" w:eastAsiaTheme="minorEastAsia"/>
                <w:szCs w:val="21"/>
              </w:rPr>
            </w:pPr>
          </w:p>
        </w:tc>
        <w:tc>
          <w:tcPr>
            <w:tcW w:w="2452" w:type="dxa"/>
            <w:tcBorders>
              <w:bottom w:val="single" w:color="auto" w:sz="4" w:space="0"/>
            </w:tcBorders>
            <w:vAlign w:val="center"/>
          </w:tcPr>
          <w:p>
            <w:pPr>
              <w:widowControl/>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接近角</w:t>
            </w:r>
          </w:p>
        </w:tc>
        <w:tc>
          <w:tcPr>
            <w:tcW w:w="2554" w:type="dxa"/>
            <w:tcBorders>
              <w:bottom w:val="single" w:color="auto" w:sz="4" w:space="0"/>
            </w:tcBorders>
            <w:vAlign w:val="center"/>
          </w:tcPr>
          <w:p>
            <w:pPr>
              <w:widowControl/>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≥27</w:t>
            </w:r>
          </w:p>
        </w:tc>
        <w:tc>
          <w:tcPr>
            <w:tcW w:w="2457" w:type="dxa"/>
            <w:tcBorders>
              <w:bottom w:val="single" w:color="auto" w:sz="4" w:space="0"/>
            </w:tcBorders>
            <w:vAlign w:val="center"/>
          </w:tcPr>
          <w:p>
            <w:pPr>
              <w:widowControl/>
              <w:ind w:firstLine="420" w:firstLineChars="200"/>
              <w:jc w:val="center"/>
              <w:rPr>
                <w:rFonts w:cs="仿宋_GB2312" w:asciiTheme="minorEastAsia" w:hAnsiTheme="minorEastAsia" w:eastAsia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jc w:val="center"/>
        </w:trPr>
        <w:tc>
          <w:tcPr>
            <w:tcW w:w="662" w:type="dxa"/>
            <w:vAlign w:val="center"/>
          </w:tcPr>
          <w:p>
            <w:pPr>
              <w:widowControl/>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11</w:t>
            </w:r>
          </w:p>
        </w:tc>
        <w:tc>
          <w:tcPr>
            <w:tcW w:w="1134" w:type="dxa"/>
            <w:vMerge w:val="continue"/>
            <w:vAlign w:val="center"/>
          </w:tcPr>
          <w:p>
            <w:pPr>
              <w:widowControl/>
              <w:ind w:firstLine="420" w:firstLineChars="200"/>
              <w:jc w:val="center"/>
              <w:rPr>
                <w:rFonts w:cs="仿宋_GB2312" w:asciiTheme="minorEastAsia" w:hAnsiTheme="minorEastAsia" w:eastAsiaTheme="minorEastAsia"/>
                <w:szCs w:val="21"/>
              </w:rPr>
            </w:pPr>
          </w:p>
        </w:tc>
        <w:tc>
          <w:tcPr>
            <w:tcW w:w="2452" w:type="dxa"/>
            <w:tcBorders>
              <w:bottom w:val="single" w:color="auto" w:sz="4" w:space="0"/>
            </w:tcBorders>
            <w:vAlign w:val="center"/>
          </w:tcPr>
          <w:p>
            <w:pPr>
              <w:widowControl/>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离去角</w:t>
            </w:r>
          </w:p>
        </w:tc>
        <w:tc>
          <w:tcPr>
            <w:tcW w:w="2554" w:type="dxa"/>
            <w:tcBorders>
              <w:bottom w:val="single" w:color="auto" w:sz="4" w:space="0"/>
            </w:tcBorders>
            <w:vAlign w:val="center"/>
          </w:tcPr>
          <w:p>
            <w:pPr>
              <w:widowControl/>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≥24</w:t>
            </w:r>
          </w:p>
        </w:tc>
        <w:tc>
          <w:tcPr>
            <w:tcW w:w="2457" w:type="dxa"/>
            <w:tcBorders>
              <w:bottom w:val="single" w:color="auto" w:sz="4" w:space="0"/>
            </w:tcBorders>
            <w:vAlign w:val="center"/>
          </w:tcPr>
          <w:p>
            <w:pPr>
              <w:widowControl/>
              <w:ind w:firstLine="420" w:firstLineChars="200"/>
              <w:jc w:val="center"/>
              <w:rPr>
                <w:rFonts w:cs="仿宋_GB2312" w:asciiTheme="minorEastAsia" w:hAnsiTheme="minorEastAsia" w:eastAsia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jc w:val="center"/>
        </w:trPr>
        <w:tc>
          <w:tcPr>
            <w:tcW w:w="662" w:type="dxa"/>
            <w:vAlign w:val="center"/>
          </w:tcPr>
          <w:p>
            <w:pPr>
              <w:widowControl/>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12</w:t>
            </w:r>
          </w:p>
        </w:tc>
        <w:tc>
          <w:tcPr>
            <w:tcW w:w="1134" w:type="dxa"/>
            <w:vMerge w:val="continue"/>
            <w:vAlign w:val="center"/>
          </w:tcPr>
          <w:p>
            <w:pPr>
              <w:widowControl/>
              <w:ind w:firstLine="420" w:firstLineChars="200"/>
              <w:jc w:val="center"/>
              <w:rPr>
                <w:rFonts w:cs="仿宋_GB2312" w:asciiTheme="minorEastAsia" w:hAnsiTheme="minorEastAsia" w:eastAsiaTheme="minorEastAsia"/>
                <w:szCs w:val="21"/>
              </w:rPr>
            </w:pPr>
          </w:p>
        </w:tc>
        <w:tc>
          <w:tcPr>
            <w:tcW w:w="2452" w:type="dxa"/>
            <w:tcBorders>
              <w:bottom w:val="single" w:color="auto" w:sz="4" w:space="0"/>
            </w:tcBorders>
            <w:vAlign w:val="center"/>
          </w:tcPr>
          <w:p>
            <w:pPr>
              <w:widowControl/>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▲整备质量(kg)</w:t>
            </w:r>
          </w:p>
        </w:tc>
        <w:tc>
          <w:tcPr>
            <w:tcW w:w="2554" w:type="dxa"/>
            <w:tcBorders>
              <w:bottom w:val="single" w:color="auto" w:sz="4" w:space="0"/>
            </w:tcBorders>
            <w:vAlign w:val="center"/>
          </w:tcPr>
          <w:p>
            <w:pPr>
              <w:widowControl/>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≥1800</w:t>
            </w:r>
          </w:p>
        </w:tc>
        <w:tc>
          <w:tcPr>
            <w:tcW w:w="2457" w:type="dxa"/>
            <w:tcBorders>
              <w:bottom w:val="single" w:color="auto" w:sz="4" w:space="0"/>
            </w:tcBorders>
            <w:vAlign w:val="center"/>
          </w:tcPr>
          <w:p>
            <w:pPr>
              <w:widowControl/>
              <w:ind w:firstLine="420" w:firstLineChars="200"/>
              <w:jc w:val="center"/>
              <w:rPr>
                <w:rFonts w:cs="仿宋_GB2312" w:asciiTheme="minorEastAsia" w:hAnsiTheme="minorEastAsia" w:eastAsia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jc w:val="center"/>
        </w:trPr>
        <w:tc>
          <w:tcPr>
            <w:tcW w:w="662" w:type="dxa"/>
            <w:vAlign w:val="center"/>
          </w:tcPr>
          <w:p>
            <w:pPr>
              <w:widowControl/>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13</w:t>
            </w:r>
          </w:p>
        </w:tc>
        <w:tc>
          <w:tcPr>
            <w:tcW w:w="1134" w:type="dxa"/>
            <w:vMerge w:val="continue"/>
            <w:vAlign w:val="center"/>
          </w:tcPr>
          <w:p>
            <w:pPr>
              <w:widowControl/>
              <w:ind w:firstLine="420" w:firstLineChars="200"/>
              <w:jc w:val="center"/>
              <w:rPr>
                <w:rFonts w:cs="仿宋_GB2312" w:asciiTheme="minorEastAsia" w:hAnsiTheme="minorEastAsia" w:eastAsiaTheme="minorEastAsia"/>
                <w:szCs w:val="21"/>
              </w:rPr>
            </w:pPr>
          </w:p>
        </w:tc>
        <w:tc>
          <w:tcPr>
            <w:tcW w:w="2452" w:type="dxa"/>
            <w:tcBorders>
              <w:bottom w:val="single" w:color="auto" w:sz="4" w:space="0"/>
            </w:tcBorders>
            <w:vAlign w:val="center"/>
          </w:tcPr>
          <w:p>
            <w:pPr>
              <w:widowControl/>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▲额定载质量（kg）</w:t>
            </w:r>
          </w:p>
        </w:tc>
        <w:tc>
          <w:tcPr>
            <w:tcW w:w="2554" w:type="dxa"/>
            <w:tcBorders>
              <w:bottom w:val="single" w:color="auto" w:sz="4" w:space="0"/>
            </w:tcBorders>
            <w:vAlign w:val="center"/>
          </w:tcPr>
          <w:p>
            <w:pPr>
              <w:widowControl/>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≤500</w:t>
            </w:r>
          </w:p>
        </w:tc>
        <w:tc>
          <w:tcPr>
            <w:tcW w:w="2457" w:type="dxa"/>
            <w:tcBorders>
              <w:bottom w:val="single" w:color="auto" w:sz="4" w:space="0"/>
            </w:tcBorders>
            <w:vAlign w:val="center"/>
          </w:tcPr>
          <w:p>
            <w:pPr>
              <w:widowControl/>
              <w:ind w:firstLine="420" w:firstLineChars="200"/>
              <w:jc w:val="center"/>
              <w:rPr>
                <w:rFonts w:cs="仿宋_GB2312" w:asciiTheme="minorEastAsia" w:hAnsiTheme="minorEastAsia" w:eastAsia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jc w:val="center"/>
        </w:trPr>
        <w:tc>
          <w:tcPr>
            <w:tcW w:w="662" w:type="dxa"/>
            <w:tcBorders>
              <w:bottom w:val="single" w:color="auto" w:sz="4" w:space="0"/>
            </w:tcBorders>
            <w:vAlign w:val="center"/>
          </w:tcPr>
          <w:p>
            <w:pPr>
              <w:widowControl/>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14</w:t>
            </w:r>
          </w:p>
        </w:tc>
        <w:tc>
          <w:tcPr>
            <w:tcW w:w="1134" w:type="dxa"/>
            <w:vMerge w:val="continue"/>
            <w:tcBorders>
              <w:bottom w:val="single" w:color="auto" w:sz="4" w:space="0"/>
            </w:tcBorders>
            <w:vAlign w:val="center"/>
          </w:tcPr>
          <w:p>
            <w:pPr>
              <w:widowControl/>
              <w:ind w:firstLine="420" w:firstLineChars="200"/>
              <w:jc w:val="center"/>
              <w:rPr>
                <w:rFonts w:cs="仿宋_GB2312" w:asciiTheme="minorEastAsia" w:hAnsiTheme="minorEastAsia" w:eastAsiaTheme="minorEastAsia"/>
                <w:szCs w:val="21"/>
              </w:rPr>
            </w:pPr>
          </w:p>
        </w:tc>
        <w:tc>
          <w:tcPr>
            <w:tcW w:w="2452" w:type="dxa"/>
            <w:tcBorders>
              <w:bottom w:val="single" w:color="auto" w:sz="4" w:space="0"/>
            </w:tcBorders>
            <w:vAlign w:val="center"/>
          </w:tcPr>
          <w:p>
            <w:pPr>
              <w:widowControl/>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轮胎规格</w:t>
            </w:r>
          </w:p>
        </w:tc>
        <w:tc>
          <w:tcPr>
            <w:tcW w:w="2554" w:type="dxa"/>
            <w:tcBorders>
              <w:bottom w:val="single" w:color="auto" w:sz="4" w:space="0"/>
            </w:tcBorders>
            <w:vAlign w:val="center"/>
          </w:tcPr>
          <w:p>
            <w:pPr>
              <w:widowControl/>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轮胎245/70 R16</w:t>
            </w:r>
          </w:p>
        </w:tc>
        <w:tc>
          <w:tcPr>
            <w:tcW w:w="2457" w:type="dxa"/>
            <w:tcBorders>
              <w:bottom w:val="single" w:color="auto" w:sz="4" w:space="0"/>
            </w:tcBorders>
            <w:vAlign w:val="center"/>
          </w:tcPr>
          <w:p>
            <w:pPr>
              <w:widowControl/>
              <w:ind w:firstLine="420" w:firstLineChars="200"/>
              <w:jc w:val="center"/>
              <w:rPr>
                <w:rFonts w:cs="仿宋_GB2312" w:asciiTheme="minorEastAsia" w:hAnsiTheme="minorEastAsia" w:eastAsia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jc w:val="center"/>
        </w:trPr>
        <w:tc>
          <w:tcPr>
            <w:tcW w:w="662" w:type="dxa"/>
            <w:vAlign w:val="center"/>
          </w:tcPr>
          <w:p>
            <w:pPr>
              <w:widowControl/>
              <w:jc w:val="center"/>
              <w:rPr>
                <w:rFonts w:hint="default" w:cs="仿宋_GB2312" w:asciiTheme="minorEastAsia" w:hAnsiTheme="minorEastAsia" w:eastAsiaTheme="minorEastAsia"/>
                <w:szCs w:val="21"/>
                <w:lang w:val="en-US" w:eastAsia="zh-CN"/>
              </w:rPr>
            </w:pPr>
            <w:r>
              <w:rPr>
                <w:rFonts w:hint="eastAsia" w:cs="仿宋_GB2312" w:asciiTheme="minorEastAsia" w:hAnsiTheme="minorEastAsia" w:eastAsiaTheme="minorEastAsia"/>
                <w:szCs w:val="21"/>
                <w:lang w:val="en-US" w:eastAsia="zh-CN"/>
              </w:rPr>
              <w:t>15</w:t>
            </w:r>
          </w:p>
        </w:tc>
        <w:tc>
          <w:tcPr>
            <w:tcW w:w="1134" w:type="dxa"/>
            <w:vMerge w:val="restart"/>
            <w:vAlign w:val="center"/>
          </w:tcPr>
          <w:p>
            <w:pPr>
              <w:widowControl/>
              <w:rPr>
                <w:rFonts w:cs="仿宋_GB2312" w:asciiTheme="minorEastAsia" w:hAnsiTheme="minorEastAsia" w:eastAsiaTheme="minorEastAsia"/>
                <w:szCs w:val="21"/>
              </w:rPr>
            </w:pPr>
            <w:r>
              <w:rPr>
                <w:rFonts w:hint="eastAsia" w:cs="仿宋_GB2312" w:asciiTheme="minorEastAsia" w:hAnsiTheme="minorEastAsia" w:eastAsiaTheme="minorEastAsia"/>
                <w:szCs w:val="21"/>
              </w:rPr>
              <w:t>动力参数</w:t>
            </w:r>
          </w:p>
        </w:tc>
        <w:tc>
          <w:tcPr>
            <w:tcW w:w="2452" w:type="dxa"/>
            <w:tcBorders>
              <w:bottom w:val="single" w:color="auto" w:sz="4" w:space="0"/>
            </w:tcBorders>
            <w:vAlign w:val="center"/>
          </w:tcPr>
          <w:p>
            <w:pPr>
              <w:widowControl/>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▲排放标准</w:t>
            </w:r>
          </w:p>
        </w:tc>
        <w:tc>
          <w:tcPr>
            <w:tcW w:w="2554" w:type="dxa"/>
            <w:tcBorders>
              <w:bottom w:val="single" w:color="auto" w:sz="4" w:space="0"/>
            </w:tcBorders>
            <w:vAlign w:val="center"/>
          </w:tcPr>
          <w:p>
            <w:pPr>
              <w:widowControl/>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国六及以上</w:t>
            </w:r>
          </w:p>
        </w:tc>
        <w:tc>
          <w:tcPr>
            <w:tcW w:w="2457" w:type="dxa"/>
            <w:tcBorders>
              <w:bottom w:val="single" w:color="auto" w:sz="4" w:space="0"/>
            </w:tcBorders>
            <w:vAlign w:val="center"/>
          </w:tcPr>
          <w:p>
            <w:pPr>
              <w:widowControl/>
              <w:ind w:firstLine="420" w:firstLineChars="200"/>
              <w:jc w:val="center"/>
              <w:rPr>
                <w:rFonts w:cs="仿宋_GB2312" w:asciiTheme="minorEastAsia" w:hAnsiTheme="minorEastAsia" w:eastAsia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jc w:val="center"/>
        </w:trPr>
        <w:tc>
          <w:tcPr>
            <w:tcW w:w="662" w:type="dxa"/>
            <w:vAlign w:val="center"/>
          </w:tcPr>
          <w:p>
            <w:pPr>
              <w:widowControl/>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16</w:t>
            </w:r>
          </w:p>
        </w:tc>
        <w:tc>
          <w:tcPr>
            <w:tcW w:w="1134" w:type="dxa"/>
            <w:vMerge w:val="continue"/>
            <w:vAlign w:val="center"/>
          </w:tcPr>
          <w:p>
            <w:pPr>
              <w:widowControl/>
              <w:ind w:firstLine="420" w:firstLineChars="200"/>
              <w:jc w:val="center"/>
              <w:rPr>
                <w:rFonts w:cs="仿宋_GB2312" w:asciiTheme="minorEastAsia" w:hAnsiTheme="minorEastAsia" w:eastAsiaTheme="minorEastAsia"/>
                <w:szCs w:val="21"/>
              </w:rPr>
            </w:pPr>
          </w:p>
        </w:tc>
        <w:tc>
          <w:tcPr>
            <w:tcW w:w="2452" w:type="dxa"/>
            <w:tcBorders>
              <w:bottom w:val="single" w:color="auto" w:sz="4" w:space="0"/>
            </w:tcBorders>
            <w:vAlign w:val="center"/>
          </w:tcPr>
          <w:p>
            <w:pPr>
              <w:widowControl/>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燃油种类</w:t>
            </w:r>
          </w:p>
        </w:tc>
        <w:tc>
          <w:tcPr>
            <w:tcW w:w="2554" w:type="dxa"/>
            <w:tcBorders>
              <w:bottom w:val="single" w:color="auto" w:sz="4" w:space="0"/>
            </w:tcBorders>
            <w:vAlign w:val="center"/>
          </w:tcPr>
          <w:p>
            <w:pPr>
              <w:widowControl/>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汽油</w:t>
            </w:r>
          </w:p>
        </w:tc>
        <w:tc>
          <w:tcPr>
            <w:tcW w:w="2457" w:type="dxa"/>
            <w:tcBorders>
              <w:bottom w:val="single" w:color="auto" w:sz="4" w:space="0"/>
            </w:tcBorders>
            <w:vAlign w:val="center"/>
          </w:tcPr>
          <w:p>
            <w:pPr>
              <w:widowControl/>
              <w:ind w:firstLine="420" w:firstLineChars="200"/>
              <w:jc w:val="center"/>
              <w:rPr>
                <w:rFonts w:cs="仿宋_GB2312" w:asciiTheme="minorEastAsia" w:hAnsiTheme="minorEastAsia" w:eastAsia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jc w:val="center"/>
        </w:trPr>
        <w:tc>
          <w:tcPr>
            <w:tcW w:w="662" w:type="dxa"/>
            <w:vAlign w:val="center"/>
          </w:tcPr>
          <w:p>
            <w:pPr>
              <w:widowControl/>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17</w:t>
            </w:r>
          </w:p>
        </w:tc>
        <w:tc>
          <w:tcPr>
            <w:tcW w:w="1134" w:type="dxa"/>
            <w:vMerge w:val="continue"/>
            <w:vAlign w:val="center"/>
          </w:tcPr>
          <w:p>
            <w:pPr>
              <w:widowControl/>
              <w:ind w:firstLine="420" w:firstLineChars="200"/>
              <w:jc w:val="center"/>
              <w:rPr>
                <w:rFonts w:cs="仿宋_GB2312" w:asciiTheme="minorEastAsia" w:hAnsiTheme="minorEastAsia" w:eastAsiaTheme="minorEastAsia"/>
                <w:szCs w:val="21"/>
              </w:rPr>
            </w:pPr>
          </w:p>
        </w:tc>
        <w:tc>
          <w:tcPr>
            <w:tcW w:w="2452" w:type="dxa"/>
            <w:tcBorders>
              <w:bottom w:val="single" w:color="auto" w:sz="4" w:space="0"/>
            </w:tcBorders>
            <w:vAlign w:val="center"/>
          </w:tcPr>
          <w:p>
            <w:pPr>
              <w:widowControl/>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▲排量（ml）</w:t>
            </w:r>
          </w:p>
        </w:tc>
        <w:tc>
          <w:tcPr>
            <w:tcW w:w="2554" w:type="dxa"/>
            <w:tcBorders>
              <w:bottom w:val="single" w:color="auto" w:sz="4" w:space="0"/>
            </w:tcBorders>
            <w:vAlign w:val="center"/>
          </w:tcPr>
          <w:p>
            <w:pPr>
              <w:widowControl/>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≤2000</w:t>
            </w:r>
          </w:p>
        </w:tc>
        <w:tc>
          <w:tcPr>
            <w:tcW w:w="2457" w:type="dxa"/>
            <w:tcBorders>
              <w:bottom w:val="single" w:color="auto" w:sz="4" w:space="0"/>
            </w:tcBorders>
            <w:vAlign w:val="center"/>
          </w:tcPr>
          <w:p>
            <w:pPr>
              <w:widowControl/>
              <w:ind w:firstLine="420" w:firstLineChars="200"/>
              <w:jc w:val="center"/>
              <w:rPr>
                <w:rFonts w:cs="仿宋_GB2312" w:asciiTheme="minorEastAsia" w:hAnsiTheme="minorEastAsia" w:eastAsia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62" w:hRule="atLeast"/>
          <w:jc w:val="center"/>
        </w:trPr>
        <w:tc>
          <w:tcPr>
            <w:tcW w:w="662" w:type="dxa"/>
            <w:vAlign w:val="center"/>
          </w:tcPr>
          <w:p>
            <w:pPr>
              <w:widowControl/>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18</w:t>
            </w:r>
          </w:p>
        </w:tc>
        <w:tc>
          <w:tcPr>
            <w:tcW w:w="1134" w:type="dxa"/>
            <w:vMerge w:val="continue"/>
            <w:vAlign w:val="center"/>
          </w:tcPr>
          <w:p>
            <w:pPr>
              <w:widowControl/>
              <w:ind w:firstLine="420" w:firstLineChars="200"/>
              <w:jc w:val="center"/>
              <w:rPr>
                <w:rFonts w:cs="仿宋_GB2312" w:asciiTheme="minorEastAsia" w:hAnsiTheme="minorEastAsia" w:eastAsiaTheme="minorEastAsia"/>
                <w:szCs w:val="21"/>
              </w:rPr>
            </w:pPr>
          </w:p>
        </w:tc>
        <w:tc>
          <w:tcPr>
            <w:tcW w:w="2452" w:type="dxa"/>
            <w:tcBorders>
              <w:top w:val="single" w:color="auto" w:sz="4" w:space="0"/>
              <w:bottom w:val="single" w:color="auto" w:sz="4" w:space="0"/>
            </w:tcBorders>
            <w:vAlign w:val="center"/>
          </w:tcPr>
          <w:p>
            <w:pPr>
              <w:widowControl/>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汽缸数（个）</w:t>
            </w:r>
          </w:p>
        </w:tc>
        <w:tc>
          <w:tcPr>
            <w:tcW w:w="2554" w:type="dxa"/>
            <w:tcBorders>
              <w:top w:val="single" w:color="auto" w:sz="4" w:space="0"/>
              <w:bottom w:val="single" w:color="auto" w:sz="4" w:space="0"/>
            </w:tcBorders>
            <w:vAlign w:val="center"/>
          </w:tcPr>
          <w:p>
            <w:pPr>
              <w:widowControl/>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4</w:t>
            </w:r>
          </w:p>
        </w:tc>
        <w:tc>
          <w:tcPr>
            <w:tcW w:w="2457" w:type="dxa"/>
            <w:tcBorders>
              <w:top w:val="single" w:color="auto" w:sz="4" w:space="0"/>
              <w:bottom w:val="single" w:color="auto" w:sz="4" w:space="0"/>
            </w:tcBorders>
            <w:vAlign w:val="center"/>
          </w:tcPr>
          <w:p>
            <w:pPr>
              <w:widowControl/>
              <w:ind w:firstLine="420" w:firstLineChars="200"/>
              <w:jc w:val="center"/>
              <w:rPr>
                <w:rFonts w:cs="仿宋_GB2312" w:asciiTheme="minorEastAsia" w:hAnsiTheme="minorEastAsia" w:eastAsia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jc w:val="center"/>
        </w:trPr>
        <w:tc>
          <w:tcPr>
            <w:tcW w:w="662" w:type="dxa"/>
            <w:vAlign w:val="center"/>
          </w:tcPr>
          <w:p>
            <w:pPr>
              <w:widowControl/>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19</w:t>
            </w:r>
          </w:p>
        </w:tc>
        <w:tc>
          <w:tcPr>
            <w:tcW w:w="1134" w:type="dxa"/>
            <w:vMerge w:val="continue"/>
            <w:vAlign w:val="center"/>
          </w:tcPr>
          <w:p>
            <w:pPr>
              <w:widowControl/>
              <w:ind w:firstLine="420" w:firstLineChars="200"/>
              <w:jc w:val="center"/>
              <w:rPr>
                <w:rFonts w:cs="仿宋_GB2312" w:asciiTheme="minorEastAsia" w:hAnsiTheme="minorEastAsia" w:eastAsiaTheme="minorEastAsia"/>
                <w:szCs w:val="21"/>
              </w:rPr>
            </w:pPr>
          </w:p>
        </w:tc>
        <w:tc>
          <w:tcPr>
            <w:tcW w:w="2452" w:type="dxa"/>
            <w:vAlign w:val="center"/>
          </w:tcPr>
          <w:p>
            <w:pPr>
              <w:widowControl/>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★进气形式</w:t>
            </w:r>
          </w:p>
        </w:tc>
        <w:tc>
          <w:tcPr>
            <w:tcW w:w="2554" w:type="dxa"/>
            <w:vAlign w:val="center"/>
          </w:tcPr>
          <w:p>
            <w:pPr>
              <w:widowControl/>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涡轮增压</w:t>
            </w:r>
          </w:p>
        </w:tc>
        <w:tc>
          <w:tcPr>
            <w:tcW w:w="2457" w:type="dxa"/>
            <w:vAlign w:val="center"/>
          </w:tcPr>
          <w:p>
            <w:pPr>
              <w:widowControl/>
              <w:ind w:firstLine="420" w:firstLineChars="200"/>
              <w:jc w:val="center"/>
              <w:rPr>
                <w:rFonts w:cs="仿宋_GB2312" w:asciiTheme="minorEastAsia" w:hAnsiTheme="minorEastAsia" w:eastAsia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jc w:val="center"/>
        </w:trPr>
        <w:tc>
          <w:tcPr>
            <w:tcW w:w="662" w:type="dxa"/>
            <w:vAlign w:val="center"/>
          </w:tcPr>
          <w:p>
            <w:pPr>
              <w:widowControl/>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20</w:t>
            </w:r>
          </w:p>
        </w:tc>
        <w:tc>
          <w:tcPr>
            <w:tcW w:w="1134" w:type="dxa"/>
            <w:vMerge w:val="continue"/>
            <w:vAlign w:val="center"/>
          </w:tcPr>
          <w:p>
            <w:pPr>
              <w:widowControl/>
              <w:ind w:firstLine="420" w:firstLineChars="200"/>
              <w:jc w:val="center"/>
              <w:rPr>
                <w:rFonts w:cs="仿宋_GB2312" w:asciiTheme="minorEastAsia" w:hAnsiTheme="minorEastAsia" w:eastAsiaTheme="minorEastAsia"/>
                <w:szCs w:val="21"/>
              </w:rPr>
            </w:pPr>
          </w:p>
        </w:tc>
        <w:tc>
          <w:tcPr>
            <w:tcW w:w="2452" w:type="dxa"/>
            <w:vAlign w:val="center"/>
          </w:tcPr>
          <w:p>
            <w:pPr>
              <w:widowControl/>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功率（kw）</w:t>
            </w:r>
          </w:p>
        </w:tc>
        <w:tc>
          <w:tcPr>
            <w:tcW w:w="2554" w:type="dxa"/>
            <w:vAlign w:val="center"/>
          </w:tcPr>
          <w:p>
            <w:pPr>
              <w:widowControl/>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≥150</w:t>
            </w:r>
          </w:p>
        </w:tc>
        <w:tc>
          <w:tcPr>
            <w:tcW w:w="2457" w:type="dxa"/>
            <w:vAlign w:val="center"/>
          </w:tcPr>
          <w:p>
            <w:pPr>
              <w:widowControl/>
              <w:ind w:firstLine="420" w:firstLineChars="200"/>
              <w:jc w:val="center"/>
              <w:rPr>
                <w:rFonts w:cs="仿宋_GB2312" w:asciiTheme="minorEastAsia" w:hAnsiTheme="minorEastAsia" w:eastAsia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jc w:val="center"/>
        </w:trPr>
        <w:tc>
          <w:tcPr>
            <w:tcW w:w="662" w:type="dxa"/>
            <w:vAlign w:val="center"/>
          </w:tcPr>
          <w:p>
            <w:pPr>
              <w:widowControl/>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21</w:t>
            </w:r>
          </w:p>
        </w:tc>
        <w:tc>
          <w:tcPr>
            <w:tcW w:w="1134" w:type="dxa"/>
            <w:vMerge w:val="continue"/>
            <w:vAlign w:val="center"/>
          </w:tcPr>
          <w:p>
            <w:pPr>
              <w:widowControl/>
              <w:ind w:firstLine="420" w:firstLineChars="200"/>
              <w:jc w:val="center"/>
              <w:rPr>
                <w:rFonts w:cs="仿宋_GB2312" w:asciiTheme="minorEastAsia" w:hAnsiTheme="minorEastAsia" w:eastAsiaTheme="minorEastAsia"/>
                <w:szCs w:val="21"/>
              </w:rPr>
            </w:pPr>
          </w:p>
        </w:tc>
        <w:tc>
          <w:tcPr>
            <w:tcW w:w="2452" w:type="dxa"/>
            <w:vAlign w:val="center"/>
          </w:tcPr>
          <w:p>
            <w:pPr>
              <w:widowControl/>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扭矩(N.m)</w:t>
            </w:r>
          </w:p>
        </w:tc>
        <w:tc>
          <w:tcPr>
            <w:tcW w:w="2554" w:type="dxa"/>
            <w:vAlign w:val="center"/>
          </w:tcPr>
          <w:p>
            <w:pPr>
              <w:widowControl/>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≥350</w:t>
            </w:r>
          </w:p>
        </w:tc>
        <w:tc>
          <w:tcPr>
            <w:tcW w:w="2457" w:type="dxa"/>
            <w:vAlign w:val="center"/>
          </w:tcPr>
          <w:p>
            <w:pPr>
              <w:widowControl/>
              <w:ind w:firstLine="420" w:firstLineChars="200"/>
              <w:jc w:val="center"/>
              <w:rPr>
                <w:rFonts w:cs="仿宋_GB2312" w:asciiTheme="minorEastAsia" w:hAnsiTheme="minorEastAsia" w:eastAsia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jc w:val="center"/>
        </w:trPr>
        <w:tc>
          <w:tcPr>
            <w:tcW w:w="662" w:type="dxa"/>
            <w:vAlign w:val="center"/>
          </w:tcPr>
          <w:p>
            <w:pPr>
              <w:widowControl/>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22</w:t>
            </w:r>
          </w:p>
        </w:tc>
        <w:tc>
          <w:tcPr>
            <w:tcW w:w="1134" w:type="dxa"/>
            <w:vMerge w:val="continue"/>
            <w:vAlign w:val="center"/>
          </w:tcPr>
          <w:p>
            <w:pPr>
              <w:widowControl/>
              <w:ind w:firstLine="420" w:firstLineChars="200"/>
              <w:jc w:val="center"/>
              <w:rPr>
                <w:rFonts w:cs="仿宋_GB2312" w:asciiTheme="minorEastAsia" w:hAnsiTheme="minorEastAsia" w:eastAsiaTheme="minorEastAsia"/>
                <w:szCs w:val="21"/>
              </w:rPr>
            </w:pPr>
          </w:p>
        </w:tc>
        <w:tc>
          <w:tcPr>
            <w:tcW w:w="2452" w:type="dxa"/>
            <w:vAlign w:val="center"/>
          </w:tcPr>
          <w:p>
            <w:pPr>
              <w:widowControl/>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▲变速箱</w:t>
            </w:r>
          </w:p>
        </w:tc>
        <w:tc>
          <w:tcPr>
            <w:tcW w:w="2554" w:type="dxa"/>
            <w:vAlign w:val="center"/>
          </w:tcPr>
          <w:p>
            <w:pPr>
              <w:widowControl/>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6挡自动</w:t>
            </w:r>
          </w:p>
        </w:tc>
        <w:tc>
          <w:tcPr>
            <w:tcW w:w="2457" w:type="dxa"/>
            <w:vAlign w:val="center"/>
          </w:tcPr>
          <w:p>
            <w:pPr>
              <w:widowControl/>
              <w:ind w:firstLine="420" w:firstLineChars="200"/>
              <w:jc w:val="center"/>
              <w:rPr>
                <w:rFonts w:cs="仿宋_GB2312" w:asciiTheme="minorEastAsia" w:hAnsiTheme="minorEastAsia" w:eastAsia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jc w:val="center"/>
        </w:trPr>
        <w:tc>
          <w:tcPr>
            <w:tcW w:w="662" w:type="dxa"/>
            <w:vAlign w:val="center"/>
          </w:tcPr>
          <w:p>
            <w:pPr>
              <w:widowControl/>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23</w:t>
            </w:r>
          </w:p>
        </w:tc>
        <w:tc>
          <w:tcPr>
            <w:tcW w:w="1134" w:type="dxa"/>
            <w:vMerge w:val="continue"/>
            <w:vAlign w:val="center"/>
          </w:tcPr>
          <w:p>
            <w:pPr>
              <w:widowControl/>
              <w:ind w:firstLine="420" w:firstLineChars="200"/>
              <w:jc w:val="center"/>
              <w:rPr>
                <w:rFonts w:cs="仿宋_GB2312" w:asciiTheme="minorEastAsia" w:hAnsiTheme="minorEastAsia" w:eastAsiaTheme="minorEastAsia"/>
                <w:szCs w:val="21"/>
              </w:rPr>
            </w:pPr>
          </w:p>
        </w:tc>
        <w:tc>
          <w:tcPr>
            <w:tcW w:w="2452" w:type="dxa"/>
            <w:vAlign w:val="center"/>
          </w:tcPr>
          <w:p>
            <w:pPr>
              <w:widowControl/>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制度系统</w:t>
            </w:r>
          </w:p>
        </w:tc>
        <w:tc>
          <w:tcPr>
            <w:tcW w:w="2554" w:type="dxa"/>
            <w:vAlign w:val="center"/>
          </w:tcPr>
          <w:p>
            <w:pPr>
              <w:widowControl/>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四轮盘刹</w:t>
            </w:r>
          </w:p>
        </w:tc>
        <w:tc>
          <w:tcPr>
            <w:tcW w:w="2457" w:type="dxa"/>
            <w:vAlign w:val="center"/>
          </w:tcPr>
          <w:p>
            <w:pPr>
              <w:widowControl/>
              <w:ind w:firstLine="420" w:firstLineChars="200"/>
              <w:jc w:val="center"/>
              <w:rPr>
                <w:rFonts w:cs="仿宋_GB2312" w:asciiTheme="minorEastAsia" w:hAnsiTheme="minorEastAsia" w:eastAsia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jc w:val="center"/>
        </w:trPr>
        <w:tc>
          <w:tcPr>
            <w:tcW w:w="662" w:type="dxa"/>
            <w:vAlign w:val="center"/>
          </w:tcPr>
          <w:p>
            <w:pPr>
              <w:widowControl/>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24</w:t>
            </w:r>
          </w:p>
        </w:tc>
        <w:tc>
          <w:tcPr>
            <w:tcW w:w="1134" w:type="dxa"/>
            <w:vMerge w:val="restart"/>
            <w:vAlign w:val="center"/>
          </w:tcPr>
          <w:p>
            <w:pPr>
              <w:widowControl/>
              <w:rPr>
                <w:rFonts w:cs="仿宋_GB2312" w:asciiTheme="minorEastAsia" w:hAnsiTheme="minorEastAsia" w:eastAsiaTheme="minorEastAsia"/>
                <w:szCs w:val="21"/>
              </w:rPr>
            </w:pPr>
            <w:r>
              <w:rPr>
                <w:rFonts w:hint="eastAsia" w:cs="仿宋_GB2312" w:asciiTheme="minorEastAsia" w:hAnsiTheme="minorEastAsia" w:eastAsiaTheme="minorEastAsia"/>
                <w:szCs w:val="21"/>
              </w:rPr>
              <w:t>安全配置</w:t>
            </w:r>
          </w:p>
        </w:tc>
        <w:tc>
          <w:tcPr>
            <w:tcW w:w="2452" w:type="dxa"/>
            <w:vAlign w:val="center"/>
          </w:tcPr>
          <w:p>
            <w:pPr>
              <w:widowControl/>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安全气囊</w:t>
            </w:r>
          </w:p>
        </w:tc>
        <w:tc>
          <w:tcPr>
            <w:tcW w:w="2554" w:type="dxa"/>
            <w:vAlign w:val="center"/>
          </w:tcPr>
          <w:p>
            <w:pPr>
              <w:widowControl/>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有</w:t>
            </w:r>
          </w:p>
        </w:tc>
        <w:tc>
          <w:tcPr>
            <w:tcW w:w="2457" w:type="dxa"/>
            <w:vAlign w:val="center"/>
          </w:tcPr>
          <w:p>
            <w:pPr>
              <w:widowControl/>
              <w:ind w:firstLine="420" w:firstLineChars="200"/>
              <w:jc w:val="center"/>
              <w:rPr>
                <w:rFonts w:cs="仿宋_GB2312" w:asciiTheme="minorEastAsia" w:hAnsiTheme="minorEastAsia" w:eastAsia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jc w:val="center"/>
        </w:trPr>
        <w:tc>
          <w:tcPr>
            <w:tcW w:w="662" w:type="dxa"/>
            <w:vAlign w:val="center"/>
          </w:tcPr>
          <w:p>
            <w:pPr>
              <w:widowControl/>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25</w:t>
            </w:r>
          </w:p>
        </w:tc>
        <w:tc>
          <w:tcPr>
            <w:tcW w:w="1134" w:type="dxa"/>
            <w:vMerge w:val="continue"/>
            <w:vAlign w:val="center"/>
          </w:tcPr>
          <w:p>
            <w:pPr>
              <w:widowControl/>
              <w:ind w:firstLine="420" w:firstLineChars="200"/>
              <w:jc w:val="center"/>
              <w:rPr>
                <w:rFonts w:cs="仿宋_GB2312" w:asciiTheme="minorEastAsia" w:hAnsiTheme="minorEastAsia" w:eastAsiaTheme="minorEastAsia"/>
                <w:szCs w:val="21"/>
              </w:rPr>
            </w:pPr>
          </w:p>
        </w:tc>
        <w:tc>
          <w:tcPr>
            <w:tcW w:w="2452" w:type="dxa"/>
            <w:vAlign w:val="center"/>
          </w:tcPr>
          <w:p>
            <w:pPr>
              <w:widowControl/>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倒车雷达</w:t>
            </w:r>
          </w:p>
        </w:tc>
        <w:tc>
          <w:tcPr>
            <w:tcW w:w="2554" w:type="dxa"/>
            <w:vAlign w:val="center"/>
          </w:tcPr>
          <w:p>
            <w:pPr>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有</w:t>
            </w:r>
          </w:p>
        </w:tc>
        <w:tc>
          <w:tcPr>
            <w:tcW w:w="2457" w:type="dxa"/>
            <w:vAlign w:val="center"/>
          </w:tcPr>
          <w:p>
            <w:pPr>
              <w:widowControl/>
              <w:ind w:firstLine="420" w:firstLineChars="200"/>
              <w:jc w:val="center"/>
              <w:rPr>
                <w:rFonts w:cs="仿宋_GB2312" w:asciiTheme="minorEastAsia" w:hAnsiTheme="minorEastAsia" w:eastAsia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jc w:val="center"/>
        </w:trPr>
        <w:tc>
          <w:tcPr>
            <w:tcW w:w="662" w:type="dxa"/>
            <w:vAlign w:val="center"/>
          </w:tcPr>
          <w:p>
            <w:pPr>
              <w:widowControl/>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26</w:t>
            </w:r>
          </w:p>
        </w:tc>
        <w:tc>
          <w:tcPr>
            <w:tcW w:w="1134" w:type="dxa"/>
            <w:vMerge w:val="continue"/>
            <w:vAlign w:val="center"/>
          </w:tcPr>
          <w:p>
            <w:pPr>
              <w:widowControl/>
              <w:ind w:firstLine="420" w:firstLineChars="200"/>
              <w:jc w:val="center"/>
              <w:rPr>
                <w:rFonts w:cs="仿宋_GB2312" w:asciiTheme="minorEastAsia" w:hAnsiTheme="minorEastAsia" w:eastAsiaTheme="minorEastAsia"/>
                <w:szCs w:val="21"/>
              </w:rPr>
            </w:pPr>
          </w:p>
        </w:tc>
        <w:tc>
          <w:tcPr>
            <w:tcW w:w="2452" w:type="dxa"/>
            <w:vAlign w:val="center"/>
          </w:tcPr>
          <w:p>
            <w:pPr>
              <w:widowControl/>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ESP车身稳定控制系统</w:t>
            </w:r>
          </w:p>
        </w:tc>
        <w:tc>
          <w:tcPr>
            <w:tcW w:w="2554" w:type="dxa"/>
            <w:vAlign w:val="center"/>
          </w:tcPr>
          <w:p>
            <w:pPr>
              <w:widowControl/>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有</w:t>
            </w:r>
          </w:p>
        </w:tc>
        <w:tc>
          <w:tcPr>
            <w:tcW w:w="2457" w:type="dxa"/>
            <w:vAlign w:val="center"/>
          </w:tcPr>
          <w:p>
            <w:pPr>
              <w:widowControl/>
              <w:ind w:firstLine="420" w:firstLineChars="200"/>
              <w:jc w:val="center"/>
              <w:rPr>
                <w:rFonts w:cs="仿宋_GB2312" w:asciiTheme="minorEastAsia" w:hAnsiTheme="minorEastAsia" w:eastAsia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jc w:val="center"/>
        </w:trPr>
        <w:tc>
          <w:tcPr>
            <w:tcW w:w="662" w:type="dxa"/>
            <w:vAlign w:val="center"/>
          </w:tcPr>
          <w:p>
            <w:pPr>
              <w:widowControl/>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27</w:t>
            </w:r>
          </w:p>
        </w:tc>
        <w:tc>
          <w:tcPr>
            <w:tcW w:w="1134" w:type="dxa"/>
            <w:vMerge w:val="continue"/>
            <w:vAlign w:val="center"/>
          </w:tcPr>
          <w:p>
            <w:pPr>
              <w:widowControl/>
              <w:ind w:firstLine="420" w:firstLineChars="200"/>
              <w:jc w:val="center"/>
              <w:rPr>
                <w:rFonts w:cs="仿宋_GB2312" w:asciiTheme="minorEastAsia" w:hAnsiTheme="minorEastAsia" w:eastAsiaTheme="minorEastAsia"/>
                <w:szCs w:val="21"/>
              </w:rPr>
            </w:pPr>
          </w:p>
        </w:tc>
        <w:tc>
          <w:tcPr>
            <w:tcW w:w="2452" w:type="dxa"/>
            <w:vAlign w:val="center"/>
          </w:tcPr>
          <w:p>
            <w:pPr>
              <w:widowControl/>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ABS+EBD</w:t>
            </w:r>
          </w:p>
        </w:tc>
        <w:tc>
          <w:tcPr>
            <w:tcW w:w="2554" w:type="dxa"/>
            <w:vAlign w:val="center"/>
          </w:tcPr>
          <w:p>
            <w:pPr>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有</w:t>
            </w:r>
          </w:p>
        </w:tc>
        <w:tc>
          <w:tcPr>
            <w:tcW w:w="2457" w:type="dxa"/>
            <w:vAlign w:val="center"/>
          </w:tcPr>
          <w:p>
            <w:pPr>
              <w:widowControl/>
              <w:ind w:firstLine="420" w:firstLineChars="200"/>
              <w:jc w:val="center"/>
              <w:rPr>
                <w:rFonts w:cs="仿宋_GB2312" w:asciiTheme="minorEastAsia" w:hAnsiTheme="minorEastAsia" w:eastAsia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jc w:val="center"/>
        </w:trPr>
        <w:tc>
          <w:tcPr>
            <w:tcW w:w="662" w:type="dxa"/>
            <w:vAlign w:val="center"/>
          </w:tcPr>
          <w:p>
            <w:pPr>
              <w:widowControl/>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28</w:t>
            </w:r>
          </w:p>
        </w:tc>
        <w:tc>
          <w:tcPr>
            <w:tcW w:w="1134" w:type="dxa"/>
            <w:vMerge w:val="continue"/>
            <w:vAlign w:val="center"/>
          </w:tcPr>
          <w:p>
            <w:pPr>
              <w:widowControl/>
              <w:ind w:firstLine="420" w:firstLineChars="200"/>
              <w:jc w:val="center"/>
              <w:rPr>
                <w:rFonts w:cs="仿宋_GB2312" w:asciiTheme="minorEastAsia" w:hAnsiTheme="minorEastAsia" w:eastAsiaTheme="minorEastAsia"/>
                <w:szCs w:val="21"/>
              </w:rPr>
            </w:pPr>
          </w:p>
        </w:tc>
        <w:tc>
          <w:tcPr>
            <w:tcW w:w="2452" w:type="dxa"/>
            <w:vAlign w:val="center"/>
          </w:tcPr>
          <w:p>
            <w:pPr>
              <w:widowControl/>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上坡辅助</w:t>
            </w:r>
          </w:p>
        </w:tc>
        <w:tc>
          <w:tcPr>
            <w:tcW w:w="2554" w:type="dxa"/>
            <w:vAlign w:val="center"/>
          </w:tcPr>
          <w:p>
            <w:pPr>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有</w:t>
            </w:r>
          </w:p>
        </w:tc>
        <w:tc>
          <w:tcPr>
            <w:tcW w:w="2457" w:type="dxa"/>
            <w:vAlign w:val="center"/>
          </w:tcPr>
          <w:p>
            <w:pPr>
              <w:widowControl/>
              <w:ind w:firstLine="420" w:firstLineChars="200"/>
              <w:jc w:val="center"/>
              <w:rPr>
                <w:rFonts w:cs="仿宋_GB2312" w:asciiTheme="minorEastAsia" w:hAnsiTheme="minorEastAsia" w:eastAsia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jc w:val="center"/>
        </w:trPr>
        <w:tc>
          <w:tcPr>
            <w:tcW w:w="662" w:type="dxa"/>
            <w:vAlign w:val="center"/>
          </w:tcPr>
          <w:p>
            <w:pPr>
              <w:widowControl/>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29</w:t>
            </w:r>
          </w:p>
        </w:tc>
        <w:tc>
          <w:tcPr>
            <w:tcW w:w="1134" w:type="dxa"/>
            <w:vMerge w:val="continue"/>
            <w:vAlign w:val="center"/>
          </w:tcPr>
          <w:p>
            <w:pPr>
              <w:widowControl/>
              <w:ind w:firstLine="420" w:firstLineChars="200"/>
              <w:jc w:val="center"/>
              <w:rPr>
                <w:rFonts w:cs="仿宋_GB2312" w:asciiTheme="minorEastAsia" w:hAnsiTheme="minorEastAsia" w:eastAsiaTheme="minorEastAsia"/>
                <w:szCs w:val="21"/>
              </w:rPr>
            </w:pPr>
          </w:p>
        </w:tc>
        <w:tc>
          <w:tcPr>
            <w:tcW w:w="2452" w:type="dxa"/>
            <w:vAlign w:val="center"/>
          </w:tcPr>
          <w:p>
            <w:pPr>
              <w:widowControl/>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陡坡缓降</w:t>
            </w:r>
          </w:p>
        </w:tc>
        <w:tc>
          <w:tcPr>
            <w:tcW w:w="2554" w:type="dxa"/>
            <w:vAlign w:val="center"/>
          </w:tcPr>
          <w:p>
            <w:pPr>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有</w:t>
            </w:r>
          </w:p>
        </w:tc>
        <w:tc>
          <w:tcPr>
            <w:tcW w:w="2457" w:type="dxa"/>
            <w:vAlign w:val="center"/>
          </w:tcPr>
          <w:p>
            <w:pPr>
              <w:widowControl/>
              <w:ind w:firstLine="420" w:firstLineChars="200"/>
              <w:jc w:val="center"/>
              <w:rPr>
                <w:rFonts w:cs="仿宋_GB2312" w:asciiTheme="minorEastAsia" w:hAnsiTheme="minorEastAsia" w:eastAsia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jc w:val="center"/>
        </w:trPr>
        <w:tc>
          <w:tcPr>
            <w:tcW w:w="662" w:type="dxa"/>
            <w:vAlign w:val="center"/>
          </w:tcPr>
          <w:p>
            <w:pPr>
              <w:widowControl/>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30</w:t>
            </w:r>
          </w:p>
        </w:tc>
        <w:tc>
          <w:tcPr>
            <w:tcW w:w="1134" w:type="dxa"/>
            <w:vMerge w:val="continue"/>
            <w:vAlign w:val="center"/>
          </w:tcPr>
          <w:p>
            <w:pPr>
              <w:widowControl/>
              <w:ind w:firstLine="420" w:firstLineChars="200"/>
              <w:jc w:val="center"/>
              <w:rPr>
                <w:rFonts w:cs="仿宋_GB2312" w:asciiTheme="minorEastAsia" w:hAnsiTheme="minorEastAsia" w:eastAsiaTheme="minorEastAsia"/>
                <w:szCs w:val="21"/>
              </w:rPr>
            </w:pPr>
          </w:p>
        </w:tc>
        <w:tc>
          <w:tcPr>
            <w:tcW w:w="2452" w:type="dxa"/>
            <w:vAlign w:val="center"/>
          </w:tcPr>
          <w:p>
            <w:pPr>
              <w:widowControl/>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安全带未系提醒</w:t>
            </w:r>
          </w:p>
        </w:tc>
        <w:tc>
          <w:tcPr>
            <w:tcW w:w="2554" w:type="dxa"/>
            <w:vAlign w:val="center"/>
          </w:tcPr>
          <w:p>
            <w:pPr>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有</w:t>
            </w:r>
          </w:p>
        </w:tc>
        <w:tc>
          <w:tcPr>
            <w:tcW w:w="2457" w:type="dxa"/>
            <w:vAlign w:val="center"/>
          </w:tcPr>
          <w:p>
            <w:pPr>
              <w:widowControl/>
              <w:ind w:firstLine="420" w:firstLineChars="200"/>
              <w:jc w:val="center"/>
              <w:rPr>
                <w:rFonts w:cs="仿宋_GB2312" w:asciiTheme="minorEastAsia" w:hAnsiTheme="minorEastAsia" w:eastAsia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jc w:val="center"/>
        </w:trPr>
        <w:tc>
          <w:tcPr>
            <w:tcW w:w="662" w:type="dxa"/>
            <w:vAlign w:val="center"/>
          </w:tcPr>
          <w:p>
            <w:pPr>
              <w:widowControl/>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31</w:t>
            </w:r>
          </w:p>
        </w:tc>
        <w:tc>
          <w:tcPr>
            <w:tcW w:w="1134" w:type="dxa"/>
            <w:vMerge w:val="continue"/>
            <w:vAlign w:val="center"/>
          </w:tcPr>
          <w:p>
            <w:pPr>
              <w:widowControl/>
              <w:ind w:firstLine="420" w:firstLineChars="200"/>
              <w:jc w:val="center"/>
              <w:rPr>
                <w:rFonts w:cs="仿宋_GB2312" w:asciiTheme="minorEastAsia" w:hAnsiTheme="minorEastAsia" w:eastAsiaTheme="minorEastAsia"/>
                <w:szCs w:val="21"/>
              </w:rPr>
            </w:pPr>
          </w:p>
        </w:tc>
        <w:tc>
          <w:tcPr>
            <w:tcW w:w="2452" w:type="dxa"/>
            <w:vAlign w:val="center"/>
          </w:tcPr>
          <w:p>
            <w:pPr>
              <w:widowControl/>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全车三点式安全带</w:t>
            </w:r>
          </w:p>
        </w:tc>
        <w:tc>
          <w:tcPr>
            <w:tcW w:w="2554" w:type="dxa"/>
            <w:vAlign w:val="center"/>
          </w:tcPr>
          <w:p>
            <w:pPr>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有</w:t>
            </w:r>
          </w:p>
        </w:tc>
        <w:tc>
          <w:tcPr>
            <w:tcW w:w="2457" w:type="dxa"/>
            <w:vAlign w:val="center"/>
          </w:tcPr>
          <w:p>
            <w:pPr>
              <w:widowControl/>
              <w:ind w:firstLine="420" w:firstLineChars="200"/>
              <w:jc w:val="center"/>
              <w:rPr>
                <w:rFonts w:cs="仿宋_GB2312" w:asciiTheme="minorEastAsia" w:hAnsiTheme="minorEastAsia" w:eastAsia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jc w:val="center"/>
        </w:trPr>
        <w:tc>
          <w:tcPr>
            <w:tcW w:w="662" w:type="dxa"/>
            <w:vAlign w:val="center"/>
          </w:tcPr>
          <w:p>
            <w:pPr>
              <w:widowControl/>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32</w:t>
            </w:r>
          </w:p>
        </w:tc>
        <w:tc>
          <w:tcPr>
            <w:tcW w:w="1134" w:type="dxa"/>
            <w:vMerge w:val="continue"/>
            <w:vAlign w:val="center"/>
          </w:tcPr>
          <w:p>
            <w:pPr>
              <w:widowControl/>
              <w:ind w:firstLine="420" w:firstLineChars="200"/>
              <w:jc w:val="center"/>
              <w:rPr>
                <w:rFonts w:cs="仿宋_GB2312" w:asciiTheme="minorEastAsia" w:hAnsiTheme="minorEastAsia" w:eastAsiaTheme="minorEastAsia"/>
                <w:szCs w:val="21"/>
              </w:rPr>
            </w:pPr>
          </w:p>
        </w:tc>
        <w:tc>
          <w:tcPr>
            <w:tcW w:w="2452" w:type="dxa"/>
            <w:vAlign w:val="center"/>
          </w:tcPr>
          <w:p>
            <w:pPr>
              <w:widowControl/>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后窗电加热除霜</w:t>
            </w:r>
          </w:p>
        </w:tc>
        <w:tc>
          <w:tcPr>
            <w:tcW w:w="2554" w:type="dxa"/>
            <w:vAlign w:val="center"/>
          </w:tcPr>
          <w:p>
            <w:pPr>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有</w:t>
            </w:r>
          </w:p>
        </w:tc>
        <w:tc>
          <w:tcPr>
            <w:tcW w:w="2457" w:type="dxa"/>
            <w:vAlign w:val="center"/>
          </w:tcPr>
          <w:p>
            <w:pPr>
              <w:widowControl/>
              <w:ind w:firstLine="420" w:firstLineChars="200"/>
              <w:jc w:val="center"/>
              <w:rPr>
                <w:rFonts w:cs="仿宋_GB2312" w:asciiTheme="minorEastAsia" w:hAnsiTheme="minorEastAsia" w:eastAsia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jc w:val="center"/>
        </w:trPr>
        <w:tc>
          <w:tcPr>
            <w:tcW w:w="662" w:type="dxa"/>
            <w:vAlign w:val="center"/>
          </w:tcPr>
          <w:p>
            <w:pPr>
              <w:widowControl/>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33</w:t>
            </w:r>
          </w:p>
        </w:tc>
        <w:tc>
          <w:tcPr>
            <w:tcW w:w="1134" w:type="dxa"/>
            <w:vMerge w:val="restart"/>
            <w:vAlign w:val="center"/>
          </w:tcPr>
          <w:p>
            <w:pPr>
              <w:widowControl/>
              <w:rPr>
                <w:rFonts w:cs="仿宋_GB2312" w:asciiTheme="minorEastAsia" w:hAnsiTheme="minorEastAsia" w:eastAsiaTheme="minorEastAsia"/>
                <w:szCs w:val="21"/>
              </w:rPr>
            </w:pPr>
            <w:r>
              <w:rPr>
                <w:rFonts w:hint="eastAsia" w:cs="仿宋_GB2312" w:asciiTheme="minorEastAsia" w:hAnsiTheme="minorEastAsia" w:eastAsiaTheme="minorEastAsia"/>
                <w:szCs w:val="21"/>
              </w:rPr>
              <w:t>舒适配置</w:t>
            </w:r>
          </w:p>
        </w:tc>
        <w:tc>
          <w:tcPr>
            <w:tcW w:w="2452" w:type="dxa"/>
            <w:vAlign w:val="center"/>
          </w:tcPr>
          <w:p>
            <w:pPr>
              <w:widowControl/>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★三模驾驶</w:t>
            </w:r>
          </w:p>
        </w:tc>
        <w:tc>
          <w:tcPr>
            <w:tcW w:w="2554" w:type="dxa"/>
            <w:vAlign w:val="center"/>
          </w:tcPr>
          <w:p>
            <w:pPr>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有</w:t>
            </w:r>
          </w:p>
        </w:tc>
        <w:tc>
          <w:tcPr>
            <w:tcW w:w="2457" w:type="dxa"/>
            <w:vAlign w:val="center"/>
          </w:tcPr>
          <w:p>
            <w:pPr>
              <w:widowControl/>
              <w:ind w:firstLine="420" w:firstLineChars="200"/>
              <w:jc w:val="center"/>
              <w:rPr>
                <w:rFonts w:cs="仿宋_GB2312" w:asciiTheme="minorEastAsia" w:hAnsiTheme="minorEastAsia" w:eastAsia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jc w:val="center"/>
        </w:trPr>
        <w:tc>
          <w:tcPr>
            <w:tcW w:w="662" w:type="dxa"/>
            <w:vAlign w:val="center"/>
          </w:tcPr>
          <w:p>
            <w:pPr>
              <w:widowControl/>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34</w:t>
            </w:r>
          </w:p>
        </w:tc>
        <w:tc>
          <w:tcPr>
            <w:tcW w:w="1134" w:type="dxa"/>
            <w:vMerge w:val="continue"/>
            <w:vAlign w:val="center"/>
          </w:tcPr>
          <w:p>
            <w:pPr>
              <w:widowControl/>
              <w:ind w:firstLine="420" w:firstLineChars="200"/>
              <w:jc w:val="center"/>
              <w:rPr>
                <w:rFonts w:cs="仿宋_GB2312" w:asciiTheme="minorEastAsia" w:hAnsiTheme="minorEastAsia" w:eastAsiaTheme="minorEastAsia"/>
                <w:szCs w:val="21"/>
              </w:rPr>
            </w:pPr>
          </w:p>
        </w:tc>
        <w:tc>
          <w:tcPr>
            <w:tcW w:w="2452" w:type="dxa"/>
            <w:vAlign w:val="center"/>
          </w:tcPr>
          <w:p>
            <w:pPr>
              <w:widowControl/>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多功能方向盘+定速巡航</w:t>
            </w:r>
          </w:p>
        </w:tc>
        <w:tc>
          <w:tcPr>
            <w:tcW w:w="2554" w:type="dxa"/>
            <w:vAlign w:val="center"/>
          </w:tcPr>
          <w:p>
            <w:pPr>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有</w:t>
            </w:r>
          </w:p>
        </w:tc>
        <w:tc>
          <w:tcPr>
            <w:tcW w:w="2457" w:type="dxa"/>
            <w:vAlign w:val="center"/>
          </w:tcPr>
          <w:p>
            <w:pPr>
              <w:widowControl/>
              <w:ind w:firstLine="420" w:firstLineChars="200"/>
              <w:jc w:val="center"/>
              <w:rPr>
                <w:rFonts w:cs="仿宋_GB2312" w:asciiTheme="minorEastAsia" w:hAnsiTheme="minorEastAsia" w:eastAsia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jc w:val="center"/>
        </w:trPr>
        <w:tc>
          <w:tcPr>
            <w:tcW w:w="662" w:type="dxa"/>
            <w:vAlign w:val="center"/>
          </w:tcPr>
          <w:p>
            <w:pPr>
              <w:widowControl/>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35</w:t>
            </w:r>
          </w:p>
        </w:tc>
        <w:tc>
          <w:tcPr>
            <w:tcW w:w="1134" w:type="dxa"/>
            <w:vMerge w:val="continue"/>
            <w:vAlign w:val="center"/>
          </w:tcPr>
          <w:p>
            <w:pPr>
              <w:widowControl/>
              <w:ind w:firstLine="420" w:firstLineChars="200"/>
              <w:jc w:val="center"/>
              <w:rPr>
                <w:rFonts w:cs="仿宋_GB2312" w:asciiTheme="minorEastAsia" w:hAnsiTheme="minorEastAsia" w:eastAsiaTheme="minorEastAsia"/>
                <w:szCs w:val="21"/>
              </w:rPr>
            </w:pPr>
          </w:p>
        </w:tc>
        <w:tc>
          <w:tcPr>
            <w:tcW w:w="2452" w:type="dxa"/>
            <w:vAlign w:val="center"/>
          </w:tcPr>
          <w:p>
            <w:pPr>
              <w:widowControl/>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防炫目后视镜</w:t>
            </w:r>
          </w:p>
        </w:tc>
        <w:tc>
          <w:tcPr>
            <w:tcW w:w="2554" w:type="dxa"/>
            <w:vAlign w:val="center"/>
          </w:tcPr>
          <w:p>
            <w:pPr>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有</w:t>
            </w:r>
          </w:p>
        </w:tc>
        <w:tc>
          <w:tcPr>
            <w:tcW w:w="2457" w:type="dxa"/>
            <w:vAlign w:val="center"/>
          </w:tcPr>
          <w:p>
            <w:pPr>
              <w:widowControl/>
              <w:ind w:firstLine="420" w:firstLineChars="200"/>
              <w:jc w:val="center"/>
              <w:rPr>
                <w:rFonts w:cs="仿宋_GB2312" w:asciiTheme="minorEastAsia" w:hAnsiTheme="minorEastAsia" w:eastAsia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jc w:val="center"/>
        </w:trPr>
        <w:tc>
          <w:tcPr>
            <w:tcW w:w="662" w:type="dxa"/>
            <w:vAlign w:val="center"/>
          </w:tcPr>
          <w:p>
            <w:pPr>
              <w:widowControl/>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36</w:t>
            </w:r>
          </w:p>
        </w:tc>
        <w:tc>
          <w:tcPr>
            <w:tcW w:w="1134" w:type="dxa"/>
            <w:vMerge w:val="continue"/>
            <w:vAlign w:val="center"/>
          </w:tcPr>
          <w:p>
            <w:pPr>
              <w:widowControl/>
              <w:ind w:firstLine="420" w:firstLineChars="200"/>
              <w:jc w:val="center"/>
              <w:rPr>
                <w:rFonts w:cs="仿宋_GB2312" w:asciiTheme="minorEastAsia" w:hAnsiTheme="minorEastAsia" w:eastAsiaTheme="minorEastAsia"/>
                <w:szCs w:val="21"/>
              </w:rPr>
            </w:pPr>
          </w:p>
        </w:tc>
        <w:tc>
          <w:tcPr>
            <w:tcW w:w="2452" w:type="dxa"/>
            <w:vAlign w:val="center"/>
          </w:tcPr>
          <w:p>
            <w:pPr>
              <w:widowControl/>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遥控钥匙</w:t>
            </w:r>
          </w:p>
        </w:tc>
        <w:tc>
          <w:tcPr>
            <w:tcW w:w="2554" w:type="dxa"/>
            <w:vAlign w:val="center"/>
          </w:tcPr>
          <w:p>
            <w:pPr>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有</w:t>
            </w:r>
          </w:p>
        </w:tc>
        <w:tc>
          <w:tcPr>
            <w:tcW w:w="2457" w:type="dxa"/>
            <w:vAlign w:val="center"/>
          </w:tcPr>
          <w:p>
            <w:pPr>
              <w:widowControl/>
              <w:ind w:firstLine="420" w:firstLineChars="200"/>
              <w:jc w:val="center"/>
              <w:rPr>
                <w:rFonts w:cs="仿宋_GB2312" w:asciiTheme="minorEastAsia" w:hAnsiTheme="minorEastAsia" w:eastAsia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jc w:val="center"/>
        </w:trPr>
        <w:tc>
          <w:tcPr>
            <w:tcW w:w="662" w:type="dxa"/>
            <w:vAlign w:val="center"/>
          </w:tcPr>
          <w:p>
            <w:pPr>
              <w:widowControl/>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37</w:t>
            </w:r>
          </w:p>
        </w:tc>
        <w:tc>
          <w:tcPr>
            <w:tcW w:w="1134" w:type="dxa"/>
            <w:vMerge w:val="continue"/>
            <w:vAlign w:val="center"/>
          </w:tcPr>
          <w:p>
            <w:pPr>
              <w:widowControl/>
              <w:ind w:firstLine="420" w:firstLineChars="200"/>
              <w:jc w:val="center"/>
              <w:rPr>
                <w:rFonts w:cs="仿宋_GB2312" w:asciiTheme="minorEastAsia" w:hAnsiTheme="minorEastAsia" w:eastAsiaTheme="minorEastAsia"/>
                <w:szCs w:val="21"/>
              </w:rPr>
            </w:pPr>
          </w:p>
        </w:tc>
        <w:tc>
          <w:tcPr>
            <w:tcW w:w="2452" w:type="dxa"/>
            <w:vAlign w:val="center"/>
          </w:tcPr>
          <w:p>
            <w:pPr>
              <w:widowControl/>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电动车窗</w:t>
            </w:r>
          </w:p>
        </w:tc>
        <w:tc>
          <w:tcPr>
            <w:tcW w:w="2554" w:type="dxa"/>
            <w:vAlign w:val="center"/>
          </w:tcPr>
          <w:p>
            <w:pPr>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有</w:t>
            </w:r>
          </w:p>
        </w:tc>
        <w:tc>
          <w:tcPr>
            <w:tcW w:w="2457" w:type="dxa"/>
            <w:vAlign w:val="center"/>
          </w:tcPr>
          <w:p>
            <w:pPr>
              <w:widowControl/>
              <w:ind w:firstLine="420" w:firstLineChars="200"/>
              <w:jc w:val="center"/>
              <w:rPr>
                <w:rFonts w:cs="仿宋_GB2312" w:asciiTheme="minorEastAsia" w:hAnsiTheme="minorEastAsia" w:eastAsia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jc w:val="center"/>
        </w:trPr>
        <w:tc>
          <w:tcPr>
            <w:tcW w:w="662" w:type="dxa"/>
            <w:vAlign w:val="center"/>
          </w:tcPr>
          <w:p>
            <w:pPr>
              <w:widowControl/>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38</w:t>
            </w:r>
          </w:p>
        </w:tc>
        <w:tc>
          <w:tcPr>
            <w:tcW w:w="1134" w:type="dxa"/>
            <w:vMerge w:val="continue"/>
            <w:vAlign w:val="center"/>
          </w:tcPr>
          <w:p>
            <w:pPr>
              <w:widowControl/>
              <w:ind w:firstLine="420" w:firstLineChars="200"/>
              <w:jc w:val="center"/>
              <w:rPr>
                <w:rFonts w:cs="仿宋_GB2312" w:asciiTheme="minorEastAsia" w:hAnsiTheme="minorEastAsia" w:eastAsiaTheme="minorEastAsia"/>
                <w:szCs w:val="21"/>
              </w:rPr>
            </w:pPr>
          </w:p>
        </w:tc>
        <w:tc>
          <w:tcPr>
            <w:tcW w:w="2452" w:type="dxa"/>
            <w:vAlign w:val="center"/>
          </w:tcPr>
          <w:p>
            <w:pPr>
              <w:widowControl/>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触摸彩色大屏</w:t>
            </w:r>
          </w:p>
        </w:tc>
        <w:tc>
          <w:tcPr>
            <w:tcW w:w="2554" w:type="dxa"/>
            <w:vAlign w:val="center"/>
          </w:tcPr>
          <w:p>
            <w:pPr>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有</w:t>
            </w:r>
          </w:p>
        </w:tc>
        <w:tc>
          <w:tcPr>
            <w:tcW w:w="2457" w:type="dxa"/>
            <w:vAlign w:val="center"/>
          </w:tcPr>
          <w:p>
            <w:pPr>
              <w:widowControl/>
              <w:ind w:firstLine="420" w:firstLineChars="200"/>
              <w:jc w:val="center"/>
              <w:rPr>
                <w:rFonts w:cs="仿宋_GB2312" w:asciiTheme="minorEastAsia" w:hAnsiTheme="minorEastAsia" w:eastAsia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jc w:val="center"/>
        </w:trPr>
        <w:tc>
          <w:tcPr>
            <w:tcW w:w="662" w:type="dxa"/>
            <w:vAlign w:val="center"/>
          </w:tcPr>
          <w:p>
            <w:pPr>
              <w:widowControl/>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39</w:t>
            </w:r>
          </w:p>
        </w:tc>
        <w:tc>
          <w:tcPr>
            <w:tcW w:w="1134" w:type="dxa"/>
            <w:vMerge w:val="continue"/>
            <w:vAlign w:val="center"/>
          </w:tcPr>
          <w:p>
            <w:pPr>
              <w:widowControl/>
              <w:ind w:firstLine="420" w:firstLineChars="200"/>
              <w:jc w:val="center"/>
              <w:rPr>
                <w:rFonts w:cs="仿宋_GB2312" w:asciiTheme="minorEastAsia" w:hAnsiTheme="minorEastAsia" w:eastAsiaTheme="minorEastAsia"/>
                <w:szCs w:val="21"/>
              </w:rPr>
            </w:pPr>
          </w:p>
        </w:tc>
        <w:tc>
          <w:tcPr>
            <w:tcW w:w="2452" w:type="dxa"/>
            <w:vAlign w:val="center"/>
          </w:tcPr>
          <w:p>
            <w:pPr>
              <w:widowControl/>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USB接口</w:t>
            </w:r>
          </w:p>
        </w:tc>
        <w:tc>
          <w:tcPr>
            <w:tcW w:w="2554" w:type="dxa"/>
            <w:vAlign w:val="center"/>
          </w:tcPr>
          <w:p>
            <w:pPr>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有</w:t>
            </w:r>
          </w:p>
        </w:tc>
        <w:tc>
          <w:tcPr>
            <w:tcW w:w="2457" w:type="dxa"/>
            <w:vAlign w:val="center"/>
          </w:tcPr>
          <w:p>
            <w:pPr>
              <w:widowControl/>
              <w:ind w:firstLine="420" w:firstLineChars="200"/>
              <w:jc w:val="center"/>
              <w:rPr>
                <w:rFonts w:cs="仿宋_GB2312" w:asciiTheme="minorEastAsia" w:hAnsiTheme="minorEastAsia" w:eastAsia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jc w:val="center"/>
        </w:trPr>
        <w:tc>
          <w:tcPr>
            <w:tcW w:w="662" w:type="dxa"/>
            <w:vAlign w:val="center"/>
          </w:tcPr>
          <w:p>
            <w:pPr>
              <w:widowControl/>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40</w:t>
            </w:r>
          </w:p>
        </w:tc>
        <w:tc>
          <w:tcPr>
            <w:tcW w:w="1134" w:type="dxa"/>
            <w:vMerge w:val="continue"/>
            <w:vAlign w:val="center"/>
          </w:tcPr>
          <w:p>
            <w:pPr>
              <w:widowControl/>
              <w:ind w:firstLine="420" w:firstLineChars="200"/>
              <w:jc w:val="center"/>
              <w:rPr>
                <w:rFonts w:cs="仿宋_GB2312" w:asciiTheme="minorEastAsia" w:hAnsiTheme="minorEastAsia" w:eastAsiaTheme="minorEastAsia"/>
                <w:szCs w:val="21"/>
              </w:rPr>
            </w:pPr>
          </w:p>
        </w:tc>
        <w:tc>
          <w:tcPr>
            <w:tcW w:w="2452" w:type="dxa"/>
            <w:vAlign w:val="center"/>
          </w:tcPr>
          <w:p>
            <w:pPr>
              <w:widowControl/>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蓝牙</w:t>
            </w:r>
          </w:p>
        </w:tc>
        <w:tc>
          <w:tcPr>
            <w:tcW w:w="2554" w:type="dxa"/>
            <w:vAlign w:val="center"/>
          </w:tcPr>
          <w:p>
            <w:pPr>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有</w:t>
            </w:r>
          </w:p>
        </w:tc>
        <w:tc>
          <w:tcPr>
            <w:tcW w:w="2457" w:type="dxa"/>
            <w:vAlign w:val="center"/>
          </w:tcPr>
          <w:p>
            <w:pPr>
              <w:widowControl/>
              <w:ind w:firstLine="420" w:firstLineChars="200"/>
              <w:jc w:val="center"/>
              <w:rPr>
                <w:rFonts w:cs="仿宋_GB2312" w:asciiTheme="minorEastAsia" w:hAnsiTheme="minorEastAsia" w:eastAsia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jc w:val="center"/>
        </w:trPr>
        <w:tc>
          <w:tcPr>
            <w:tcW w:w="662" w:type="dxa"/>
            <w:vAlign w:val="center"/>
          </w:tcPr>
          <w:p>
            <w:pPr>
              <w:widowControl/>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41</w:t>
            </w:r>
          </w:p>
        </w:tc>
        <w:tc>
          <w:tcPr>
            <w:tcW w:w="1134" w:type="dxa"/>
            <w:vMerge w:val="continue"/>
            <w:vAlign w:val="center"/>
          </w:tcPr>
          <w:p>
            <w:pPr>
              <w:widowControl/>
              <w:ind w:firstLine="420" w:firstLineChars="200"/>
              <w:jc w:val="center"/>
              <w:rPr>
                <w:rFonts w:cs="仿宋_GB2312" w:asciiTheme="minorEastAsia" w:hAnsiTheme="minorEastAsia" w:eastAsiaTheme="minorEastAsia"/>
                <w:szCs w:val="21"/>
              </w:rPr>
            </w:pPr>
          </w:p>
        </w:tc>
        <w:tc>
          <w:tcPr>
            <w:tcW w:w="2452" w:type="dxa"/>
            <w:vAlign w:val="center"/>
          </w:tcPr>
          <w:p>
            <w:pPr>
              <w:widowControl/>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空调</w:t>
            </w:r>
          </w:p>
        </w:tc>
        <w:tc>
          <w:tcPr>
            <w:tcW w:w="2554" w:type="dxa"/>
            <w:vAlign w:val="center"/>
          </w:tcPr>
          <w:p>
            <w:pPr>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有</w:t>
            </w:r>
          </w:p>
        </w:tc>
        <w:tc>
          <w:tcPr>
            <w:tcW w:w="2457" w:type="dxa"/>
            <w:vAlign w:val="center"/>
          </w:tcPr>
          <w:p>
            <w:pPr>
              <w:widowControl/>
              <w:ind w:firstLine="420" w:firstLineChars="200"/>
              <w:jc w:val="center"/>
              <w:rPr>
                <w:rFonts w:cs="仿宋_GB2312" w:asciiTheme="minorEastAsia" w:hAnsiTheme="minorEastAsia" w:eastAsia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jc w:val="center"/>
        </w:trPr>
        <w:tc>
          <w:tcPr>
            <w:tcW w:w="662" w:type="dxa"/>
            <w:vAlign w:val="center"/>
          </w:tcPr>
          <w:p>
            <w:pPr>
              <w:widowControl/>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42</w:t>
            </w:r>
          </w:p>
        </w:tc>
        <w:tc>
          <w:tcPr>
            <w:tcW w:w="1134" w:type="dxa"/>
            <w:vMerge w:val="continue"/>
            <w:vAlign w:val="center"/>
          </w:tcPr>
          <w:p>
            <w:pPr>
              <w:widowControl/>
              <w:ind w:firstLine="420" w:firstLineChars="200"/>
              <w:jc w:val="center"/>
              <w:rPr>
                <w:rFonts w:cs="仿宋_GB2312" w:asciiTheme="minorEastAsia" w:hAnsiTheme="minorEastAsia" w:eastAsiaTheme="minorEastAsia"/>
                <w:szCs w:val="21"/>
              </w:rPr>
            </w:pPr>
          </w:p>
        </w:tc>
        <w:tc>
          <w:tcPr>
            <w:tcW w:w="2452" w:type="dxa"/>
            <w:vAlign w:val="center"/>
          </w:tcPr>
          <w:p>
            <w:pPr>
              <w:widowControl/>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皮质座椅</w:t>
            </w:r>
          </w:p>
        </w:tc>
        <w:tc>
          <w:tcPr>
            <w:tcW w:w="2554" w:type="dxa"/>
            <w:vAlign w:val="center"/>
          </w:tcPr>
          <w:p>
            <w:pPr>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有</w:t>
            </w:r>
          </w:p>
        </w:tc>
        <w:tc>
          <w:tcPr>
            <w:tcW w:w="2457" w:type="dxa"/>
            <w:vAlign w:val="center"/>
          </w:tcPr>
          <w:p>
            <w:pPr>
              <w:widowControl/>
              <w:ind w:firstLine="420" w:firstLineChars="200"/>
              <w:jc w:val="center"/>
              <w:rPr>
                <w:rFonts w:cs="仿宋_GB2312" w:asciiTheme="minorEastAsia" w:hAnsiTheme="minorEastAsia" w:eastAsia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jc w:val="center"/>
        </w:trPr>
        <w:tc>
          <w:tcPr>
            <w:tcW w:w="662" w:type="dxa"/>
            <w:vAlign w:val="center"/>
          </w:tcPr>
          <w:p>
            <w:pPr>
              <w:widowControl/>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43</w:t>
            </w:r>
          </w:p>
        </w:tc>
        <w:tc>
          <w:tcPr>
            <w:tcW w:w="1134" w:type="dxa"/>
            <w:vMerge w:val="restart"/>
            <w:vAlign w:val="center"/>
          </w:tcPr>
          <w:p>
            <w:pPr>
              <w:widowControl/>
              <w:rPr>
                <w:rFonts w:cs="仿宋_GB2312" w:asciiTheme="minorEastAsia" w:hAnsiTheme="minorEastAsia" w:eastAsiaTheme="minorEastAsia"/>
                <w:szCs w:val="21"/>
              </w:rPr>
            </w:pPr>
            <w:r>
              <w:rPr>
                <w:rFonts w:hint="eastAsia" w:cs="仿宋_GB2312" w:asciiTheme="minorEastAsia" w:hAnsiTheme="minorEastAsia" w:eastAsiaTheme="minorEastAsia"/>
                <w:szCs w:val="21"/>
              </w:rPr>
              <w:t>外观配置</w:t>
            </w:r>
          </w:p>
        </w:tc>
        <w:tc>
          <w:tcPr>
            <w:tcW w:w="2452" w:type="dxa"/>
            <w:vAlign w:val="center"/>
          </w:tcPr>
          <w:p>
            <w:pPr>
              <w:widowControl/>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铝合金轮圈</w:t>
            </w:r>
          </w:p>
        </w:tc>
        <w:tc>
          <w:tcPr>
            <w:tcW w:w="2554" w:type="dxa"/>
            <w:vAlign w:val="center"/>
          </w:tcPr>
          <w:p>
            <w:pPr>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有</w:t>
            </w:r>
          </w:p>
        </w:tc>
        <w:tc>
          <w:tcPr>
            <w:tcW w:w="2457" w:type="dxa"/>
            <w:vAlign w:val="center"/>
          </w:tcPr>
          <w:p>
            <w:pPr>
              <w:widowControl/>
              <w:ind w:firstLine="420" w:firstLineChars="200"/>
              <w:jc w:val="center"/>
              <w:rPr>
                <w:rFonts w:cs="仿宋_GB2312" w:asciiTheme="minorEastAsia" w:hAnsiTheme="minorEastAsia" w:eastAsia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jc w:val="center"/>
        </w:trPr>
        <w:tc>
          <w:tcPr>
            <w:tcW w:w="662" w:type="dxa"/>
            <w:vAlign w:val="center"/>
          </w:tcPr>
          <w:p>
            <w:pPr>
              <w:widowControl/>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44</w:t>
            </w:r>
          </w:p>
        </w:tc>
        <w:tc>
          <w:tcPr>
            <w:tcW w:w="1134" w:type="dxa"/>
            <w:vMerge w:val="continue"/>
            <w:vAlign w:val="center"/>
          </w:tcPr>
          <w:p>
            <w:pPr>
              <w:widowControl/>
              <w:ind w:firstLine="420" w:firstLineChars="200"/>
              <w:jc w:val="center"/>
              <w:rPr>
                <w:rFonts w:cs="仿宋_GB2312" w:asciiTheme="minorEastAsia" w:hAnsiTheme="minorEastAsia" w:eastAsiaTheme="minorEastAsia"/>
                <w:szCs w:val="21"/>
              </w:rPr>
            </w:pPr>
          </w:p>
        </w:tc>
        <w:tc>
          <w:tcPr>
            <w:tcW w:w="2452" w:type="dxa"/>
            <w:vAlign w:val="center"/>
          </w:tcPr>
          <w:p>
            <w:pPr>
              <w:widowControl/>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L型车厢护栏</w:t>
            </w:r>
          </w:p>
        </w:tc>
        <w:tc>
          <w:tcPr>
            <w:tcW w:w="2554" w:type="dxa"/>
            <w:vAlign w:val="center"/>
          </w:tcPr>
          <w:p>
            <w:pPr>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有</w:t>
            </w:r>
          </w:p>
        </w:tc>
        <w:tc>
          <w:tcPr>
            <w:tcW w:w="2457" w:type="dxa"/>
            <w:vAlign w:val="center"/>
          </w:tcPr>
          <w:p>
            <w:pPr>
              <w:widowControl/>
              <w:ind w:firstLine="420" w:firstLineChars="200"/>
              <w:jc w:val="center"/>
              <w:rPr>
                <w:rFonts w:cs="仿宋_GB2312" w:asciiTheme="minorEastAsia" w:hAnsiTheme="minorEastAsia" w:eastAsia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jc w:val="center"/>
        </w:trPr>
        <w:tc>
          <w:tcPr>
            <w:tcW w:w="662" w:type="dxa"/>
            <w:vAlign w:val="center"/>
          </w:tcPr>
          <w:p>
            <w:pPr>
              <w:widowControl/>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45</w:t>
            </w:r>
          </w:p>
        </w:tc>
        <w:tc>
          <w:tcPr>
            <w:tcW w:w="1134" w:type="dxa"/>
            <w:vMerge w:val="continue"/>
            <w:vAlign w:val="center"/>
          </w:tcPr>
          <w:p>
            <w:pPr>
              <w:widowControl/>
              <w:ind w:firstLine="420" w:firstLineChars="200"/>
              <w:jc w:val="center"/>
              <w:rPr>
                <w:rFonts w:cs="仿宋_GB2312" w:asciiTheme="minorEastAsia" w:hAnsiTheme="minorEastAsia" w:eastAsiaTheme="minorEastAsia"/>
                <w:szCs w:val="21"/>
              </w:rPr>
            </w:pPr>
          </w:p>
        </w:tc>
        <w:tc>
          <w:tcPr>
            <w:tcW w:w="2452" w:type="dxa"/>
            <w:vAlign w:val="center"/>
          </w:tcPr>
          <w:p>
            <w:pPr>
              <w:widowControl/>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外绳钩</w:t>
            </w:r>
          </w:p>
        </w:tc>
        <w:tc>
          <w:tcPr>
            <w:tcW w:w="2554" w:type="dxa"/>
            <w:vAlign w:val="center"/>
          </w:tcPr>
          <w:p>
            <w:pPr>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有</w:t>
            </w:r>
          </w:p>
        </w:tc>
        <w:tc>
          <w:tcPr>
            <w:tcW w:w="2457" w:type="dxa"/>
            <w:vAlign w:val="center"/>
          </w:tcPr>
          <w:p>
            <w:pPr>
              <w:widowControl/>
              <w:ind w:firstLine="420" w:firstLineChars="200"/>
              <w:jc w:val="center"/>
              <w:rPr>
                <w:rFonts w:cs="仿宋_GB2312" w:asciiTheme="minorEastAsia" w:hAnsiTheme="minorEastAsia" w:eastAsia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jc w:val="center"/>
        </w:trPr>
        <w:tc>
          <w:tcPr>
            <w:tcW w:w="662" w:type="dxa"/>
            <w:vAlign w:val="center"/>
          </w:tcPr>
          <w:p>
            <w:pPr>
              <w:widowControl/>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46</w:t>
            </w:r>
          </w:p>
        </w:tc>
        <w:tc>
          <w:tcPr>
            <w:tcW w:w="1134" w:type="dxa"/>
            <w:vMerge w:val="continue"/>
            <w:vAlign w:val="center"/>
          </w:tcPr>
          <w:p>
            <w:pPr>
              <w:widowControl/>
              <w:ind w:firstLine="420" w:firstLineChars="200"/>
              <w:jc w:val="center"/>
              <w:rPr>
                <w:rFonts w:cs="仿宋_GB2312" w:asciiTheme="minorEastAsia" w:hAnsiTheme="minorEastAsia" w:eastAsiaTheme="minorEastAsia"/>
                <w:szCs w:val="21"/>
              </w:rPr>
            </w:pPr>
          </w:p>
        </w:tc>
        <w:tc>
          <w:tcPr>
            <w:tcW w:w="2452" w:type="dxa"/>
            <w:vAlign w:val="center"/>
          </w:tcPr>
          <w:p>
            <w:pPr>
              <w:widowControl/>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前后保险杠</w:t>
            </w:r>
          </w:p>
        </w:tc>
        <w:tc>
          <w:tcPr>
            <w:tcW w:w="2554" w:type="dxa"/>
            <w:vAlign w:val="center"/>
          </w:tcPr>
          <w:p>
            <w:pPr>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有</w:t>
            </w:r>
          </w:p>
        </w:tc>
        <w:tc>
          <w:tcPr>
            <w:tcW w:w="2457" w:type="dxa"/>
            <w:vAlign w:val="center"/>
          </w:tcPr>
          <w:p>
            <w:pPr>
              <w:widowControl/>
              <w:ind w:firstLine="420" w:firstLineChars="200"/>
              <w:jc w:val="center"/>
              <w:rPr>
                <w:rFonts w:cs="仿宋_GB2312" w:asciiTheme="minorEastAsia" w:hAnsiTheme="minorEastAsia" w:eastAsia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jc w:val="center"/>
        </w:trPr>
        <w:tc>
          <w:tcPr>
            <w:tcW w:w="662" w:type="dxa"/>
            <w:vAlign w:val="center"/>
          </w:tcPr>
          <w:p>
            <w:pPr>
              <w:widowControl/>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47</w:t>
            </w:r>
          </w:p>
        </w:tc>
        <w:tc>
          <w:tcPr>
            <w:tcW w:w="1134" w:type="dxa"/>
            <w:vMerge w:val="continue"/>
            <w:vAlign w:val="center"/>
          </w:tcPr>
          <w:p>
            <w:pPr>
              <w:widowControl/>
              <w:ind w:firstLine="420" w:firstLineChars="200"/>
              <w:jc w:val="center"/>
              <w:rPr>
                <w:rFonts w:cs="仿宋_GB2312" w:asciiTheme="minorEastAsia" w:hAnsiTheme="minorEastAsia" w:eastAsiaTheme="minorEastAsia"/>
                <w:szCs w:val="21"/>
              </w:rPr>
            </w:pPr>
          </w:p>
        </w:tc>
        <w:tc>
          <w:tcPr>
            <w:tcW w:w="2452" w:type="dxa"/>
            <w:vAlign w:val="center"/>
          </w:tcPr>
          <w:p>
            <w:pPr>
              <w:widowControl/>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电动外后视镜</w:t>
            </w:r>
          </w:p>
        </w:tc>
        <w:tc>
          <w:tcPr>
            <w:tcW w:w="2554" w:type="dxa"/>
            <w:vAlign w:val="center"/>
          </w:tcPr>
          <w:p>
            <w:pPr>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有</w:t>
            </w:r>
          </w:p>
        </w:tc>
        <w:tc>
          <w:tcPr>
            <w:tcW w:w="2457" w:type="dxa"/>
            <w:vAlign w:val="center"/>
          </w:tcPr>
          <w:p>
            <w:pPr>
              <w:widowControl/>
              <w:ind w:firstLine="420" w:firstLineChars="200"/>
              <w:jc w:val="center"/>
              <w:rPr>
                <w:rFonts w:cs="仿宋_GB2312" w:asciiTheme="minorEastAsia" w:hAnsiTheme="minorEastAsia" w:eastAsia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jc w:val="center"/>
        </w:trPr>
        <w:tc>
          <w:tcPr>
            <w:tcW w:w="662" w:type="dxa"/>
            <w:vAlign w:val="center"/>
          </w:tcPr>
          <w:p>
            <w:pPr>
              <w:widowControl/>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48</w:t>
            </w:r>
          </w:p>
        </w:tc>
        <w:tc>
          <w:tcPr>
            <w:tcW w:w="1134" w:type="dxa"/>
            <w:vMerge w:val="continue"/>
            <w:vAlign w:val="center"/>
          </w:tcPr>
          <w:p>
            <w:pPr>
              <w:widowControl/>
              <w:ind w:firstLine="420" w:firstLineChars="200"/>
              <w:jc w:val="center"/>
              <w:rPr>
                <w:rFonts w:cs="仿宋_GB2312" w:asciiTheme="minorEastAsia" w:hAnsiTheme="minorEastAsia" w:eastAsiaTheme="minorEastAsia"/>
                <w:szCs w:val="21"/>
              </w:rPr>
            </w:pPr>
          </w:p>
        </w:tc>
        <w:tc>
          <w:tcPr>
            <w:tcW w:w="2452" w:type="dxa"/>
            <w:vAlign w:val="center"/>
          </w:tcPr>
          <w:p>
            <w:pPr>
              <w:widowControl/>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LED高位制动灯</w:t>
            </w:r>
          </w:p>
        </w:tc>
        <w:tc>
          <w:tcPr>
            <w:tcW w:w="2554" w:type="dxa"/>
            <w:vAlign w:val="center"/>
          </w:tcPr>
          <w:p>
            <w:pPr>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有</w:t>
            </w:r>
          </w:p>
        </w:tc>
        <w:tc>
          <w:tcPr>
            <w:tcW w:w="2457" w:type="dxa"/>
            <w:vAlign w:val="center"/>
          </w:tcPr>
          <w:p>
            <w:pPr>
              <w:widowControl/>
              <w:ind w:firstLine="420" w:firstLineChars="200"/>
              <w:jc w:val="center"/>
              <w:rPr>
                <w:rFonts w:cs="仿宋_GB2312" w:asciiTheme="minorEastAsia" w:hAnsiTheme="minorEastAsia" w:eastAsia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jc w:val="center"/>
        </w:trPr>
        <w:tc>
          <w:tcPr>
            <w:tcW w:w="662" w:type="dxa"/>
            <w:vAlign w:val="center"/>
          </w:tcPr>
          <w:p>
            <w:pPr>
              <w:widowControl/>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49</w:t>
            </w:r>
          </w:p>
        </w:tc>
        <w:tc>
          <w:tcPr>
            <w:tcW w:w="1134" w:type="dxa"/>
            <w:vMerge w:val="continue"/>
            <w:vAlign w:val="center"/>
          </w:tcPr>
          <w:p>
            <w:pPr>
              <w:widowControl/>
              <w:ind w:firstLine="420" w:firstLineChars="200"/>
              <w:jc w:val="center"/>
              <w:rPr>
                <w:rFonts w:cs="仿宋_GB2312" w:asciiTheme="minorEastAsia" w:hAnsiTheme="minorEastAsia" w:eastAsiaTheme="minorEastAsia"/>
                <w:szCs w:val="21"/>
              </w:rPr>
            </w:pPr>
          </w:p>
        </w:tc>
        <w:tc>
          <w:tcPr>
            <w:tcW w:w="2452" w:type="dxa"/>
            <w:vAlign w:val="center"/>
          </w:tcPr>
          <w:p>
            <w:pPr>
              <w:widowControl/>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前雾灯</w:t>
            </w:r>
          </w:p>
        </w:tc>
        <w:tc>
          <w:tcPr>
            <w:tcW w:w="2554" w:type="dxa"/>
            <w:vAlign w:val="center"/>
          </w:tcPr>
          <w:p>
            <w:pPr>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有</w:t>
            </w:r>
          </w:p>
        </w:tc>
        <w:tc>
          <w:tcPr>
            <w:tcW w:w="2457" w:type="dxa"/>
            <w:vAlign w:val="center"/>
          </w:tcPr>
          <w:p>
            <w:pPr>
              <w:widowControl/>
              <w:ind w:firstLine="420" w:firstLineChars="200"/>
              <w:jc w:val="center"/>
              <w:rPr>
                <w:rFonts w:cs="仿宋_GB2312" w:asciiTheme="minorEastAsia" w:hAnsiTheme="minorEastAsia" w:eastAsia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jc w:val="center"/>
        </w:trPr>
        <w:tc>
          <w:tcPr>
            <w:tcW w:w="662" w:type="dxa"/>
            <w:vAlign w:val="center"/>
          </w:tcPr>
          <w:p>
            <w:pPr>
              <w:widowControl/>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50</w:t>
            </w:r>
          </w:p>
        </w:tc>
        <w:tc>
          <w:tcPr>
            <w:tcW w:w="1134" w:type="dxa"/>
            <w:vMerge w:val="continue"/>
            <w:vAlign w:val="center"/>
          </w:tcPr>
          <w:p>
            <w:pPr>
              <w:widowControl/>
              <w:ind w:firstLine="420" w:firstLineChars="200"/>
              <w:jc w:val="center"/>
              <w:rPr>
                <w:rFonts w:cs="仿宋_GB2312" w:asciiTheme="minorEastAsia" w:hAnsiTheme="minorEastAsia" w:eastAsiaTheme="minorEastAsia"/>
                <w:szCs w:val="21"/>
              </w:rPr>
            </w:pPr>
          </w:p>
        </w:tc>
        <w:tc>
          <w:tcPr>
            <w:tcW w:w="2452" w:type="dxa"/>
            <w:vAlign w:val="center"/>
          </w:tcPr>
          <w:p>
            <w:pPr>
              <w:widowControl/>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★车身外观颜色</w:t>
            </w:r>
          </w:p>
        </w:tc>
        <w:tc>
          <w:tcPr>
            <w:tcW w:w="2554" w:type="dxa"/>
            <w:vAlign w:val="center"/>
          </w:tcPr>
          <w:p>
            <w:pPr>
              <w:widowControl/>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工程黄</w:t>
            </w:r>
          </w:p>
        </w:tc>
        <w:tc>
          <w:tcPr>
            <w:tcW w:w="2457" w:type="dxa"/>
            <w:vAlign w:val="center"/>
          </w:tcPr>
          <w:p>
            <w:pPr>
              <w:widowControl/>
              <w:ind w:firstLine="420" w:firstLineChars="200"/>
              <w:jc w:val="center"/>
              <w:rPr>
                <w:rFonts w:cs="仿宋_GB2312" w:asciiTheme="minorEastAsia" w:hAnsiTheme="minorEastAsia" w:eastAsiaTheme="minorEastAsia"/>
                <w:szCs w:val="21"/>
              </w:rPr>
            </w:pPr>
          </w:p>
        </w:tc>
      </w:tr>
    </w:tbl>
    <w:p>
      <w:pPr>
        <w:widowControl/>
        <w:autoSpaceDE w:val="0"/>
        <w:autoSpaceDN w:val="0"/>
        <w:adjustRightInd w:val="0"/>
        <w:spacing w:line="460" w:lineRule="atLeast"/>
        <w:textAlignment w:val="bottom"/>
        <w:rPr>
          <w:rFonts w:ascii="宋体"/>
          <w:sz w:val="22"/>
        </w:rPr>
      </w:pPr>
    </w:p>
    <w:p>
      <w:pPr>
        <w:numPr>
          <w:ilvl w:val="1"/>
          <w:numId w:val="30"/>
        </w:numPr>
        <w:spacing w:beforeLines="50" w:afterLines="50"/>
        <w:rPr>
          <w:rFonts w:ascii="宋体" w:hAnsi="宋体"/>
          <w:b/>
          <w:bCs/>
          <w:color w:val="000000" w:themeColor="text1"/>
          <w:sz w:val="22"/>
          <w:szCs w:val="22"/>
          <w14:textFill>
            <w14:solidFill>
              <w14:schemeClr w14:val="tx1"/>
            </w14:solidFill>
          </w14:textFill>
        </w:rPr>
      </w:pPr>
      <w:r>
        <w:rPr>
          <w:rFonts w:hint="eastAsia" w:ascii="宋体" w:hAnsi="宋体"/>
          <w:b/>
          <w:bCs/>
          <w:color w:val="000000" w:themeColor="text1"/>
          <w:sz w:val="22"/>
          <w:szCs w:val="22"/>
          <w14:textFill>
            <w14:solidFill>
              <w14:schemeClr w14:val="tx1"/>
            </w14:solidFill>
          </w14:textFill>
        </w:rPr>
        <w:t>综合要求</w:t>
      </w:r>
    </w:p>
    <w:p>
      <w:pPr>
        <w:numPr>
          <w:ilvl w:val="0"/>
          <w:numId w:val="39"/>
        </w:numPr>
        <w:autoSpaceDE w:val="0"/>
        <w:autoSpaceDN w:val="0"/>
        <w:adjustRightInd w:val="0"/>
        <w:snapToGrid w:val="0"/>
        <w:spacing w:line="460" w:lineRule="exact"/>
        <w:textAlignment w:val="bottom"/>
        <w:rPr>
          <w:rFonts w:ascii="宋体" w:hAnsi="宋体"/>
          <w:b/>
          <w:color w:val="000000" w:themeColor="text1"/>
          <w:sz w:val="22"/>
          <w:szCs w:val="22"/>
          <w:u w:val="single"/>
          <w14:textFill>
            <w14:solidFill>
              <w14:schemeClr w14:val="tx1"/>
            </w14:solidFill>
          </w14:textFill>
        </w:rPr>
      </w:pPr>
      <w:r>
        <w:rPr>
          <w:rFonts w:hint="eastAsia" w:ascii="宋体" w:hAnsi="宋体"/>
          <w:b/>
          <w:bCs/>
          <w:color w:val="000000" w:themeColor="text1"/>
          <w:sz w:val="22"/>
          <w:szCs w:val="22"/>
          <w:u w:val="single"/>
          <w14:textFill>
            <w14:solidFill>
              <w14:schemeClr w14:val="tx1"/>
            </w14:solidFill>
          </w14:textFill>
        </w:rPr>
        <w:t>交货时间：</w:t>
      </w:r>
      <w:r>
        <w:rPr>
          <w:rFonts w:hint="eastAsia" w:ascii="宋体" w:hAnsi="宋体" w:eastAsia="宋体" w:cs="宋体"/>
          <w:b/>
          <w:bCs/>
          <w:color w:val="auto"/>
          <w:kern w:val="0"/>
          <w:sz w:val="22"/>
          <w:szCs w:val="22"/>
          <w:highlight w:val="none"/>
          <w:u w:val="single"/>
        </w:rPr>
        <w:t>合同签订生效后3</w:t>
      </w:r>
      <w:r>
        <w:rPr>
          <w:rFonts w:hint="eastAsia" w:ascii="宋体" w:hAnsi="宋体" w:cs="宋体"/>
          <w:b/>
          <w:bCs/>
          <w:color w:val="auto"/>
          <w:kern w:val="0"/>
          <w:sz w:val="22"/>
          <w:szCs w:val="22"/>
          <w:highlight w:val="none"/>
          <w:u w:val="single"/>
          <w:lang w:val="en-US" w:eastAsia="zh-CN"/>
        </w:rPr>
        <w:t>0</w:t>
      </w:r>
      <w:r>
        <w:rPr>
          <w:rFonts w:hint="eastAsia" w:ascii="宋体" w:hAnsi="宋体" w:eastAsia="宋体" w:cs="宋体"/>
          <w:b/>
          <w:bCs/>
          <w:color w:val="auto"/>
          <w:kern w:val="0"/>
          <w:sz w:val="22"/>
          <w:szCs w:val="22"/>
          <w:highlight w:val="none"/>
          <w:u w:val="single"/>
        </w:rPr>
        <w:t>个工作日内交货并通过招标人最终验收，10日内完成车辆正常上牌</w:t>
      </w:r>
      <w:r>
        <w:rPr>
          <w:rFonts w:hint="eastAsia" w:ascii="宋体" w:hAnsi="宋体" w:cs="Arial"/>
          <w:b/>
          <w:color w:val="000000" w:themeColor="text1"/>
          <w:sz w:val="22"/>
          <w:szCs w:val="22"/>
          <w:u w:val="single"/>
          <w14:textFill>
            <w14:solidFill>
              <w14:schemeClr w14:val="tx1"/>
            </w14:solidFill>
          </w14:textFill>
        </w:rPr>
        <w:t>。</w:t>
      </w:r>
    </w:p>
    <w:p>
      <w:pPr>
        <w:numPr>
          <w:ilvl w:val="0"/>
          <w:numId w:val="39"/>
        </w:numPr>
        <w:autoSpaceDE w:val="0"/>
        <w:autoSpaceDN w:val="0"/>
        <w:adjustRightInd w:val="0"/>
        <w:snapToGrid w:val="0"/>
        <w:spacing w:line="460" w:lineRule="exact"/>
        <w:textAlignment w:val="bottom"/>
        <w:rPr>
          <w:rFonts w:ascii="宋体" w:hAnsi="宋体" w:cs="Arial"/>
          <w:b/>
          <w:bCs/>
          <w:color w:val="000000" w:themeColor="text1"/>
          <w:sz w:val="22"/>
          <w:szCs w:val="22"/>
          <w:u w:val="single"/>
          <w14:textFill>
            <w14:solidFill>
              <w14:schemeClr w14:val="tx1"/>
            </w14:solidFill>
          </w14:textFill>
        </w:rPr>
      </w:pPr>
      <w:r>
        <w:rPr>
          <w:rFonts w:hint="eastAsia" w:ascii="宋体" w:hAnsi="宋体" w:cs="Arial"/>
          <w:b/>
          <w:bCs/>
          <w:color w:val="000000" w:themeColor="text1"/>
          <w:sz w:val="22"/>
          <w:szCs w:val="22"/>
          <w:u w:val="single"/>
          <w14:textFill>
            <w14:solidFill>
              <w14:schemeClr w14:val="tx1"/>
            </w14:solidFill>
          </w14:textFill>
        </w:rPr>
        <w:t>质量保证期：按照厂家保修政策执行</w:t>
      </w:r>
    </w:p>
    <w:p>
      <w:pPr>
        <w:numPr>
          <w:ilvl w:val="1"/>
          <w:numId w:val="39"/>
        </w:numPr>
        <w:autoSpaceDE w:val="0"/>
        <w:autoSpaceDN w:val="0"/>
        <w:adjustRightInd w:val="0"/>
        <w:snapToGrid w:val="0"/>
        <w:spacing w:line="460" w:lineRule="exact"/>
        <w:textAlignment w:val="bottom"/>
        <w:rPr>
          <w:rFonts w:ascii="宋体" w:hAnsi="宋体" w:cs="Arial"/>
          <w:color w:val="000000" w:themeColor="text1"/>
          <w:sz w:val="22"/>
          <w:szCs w:val="22"/>
          <w14:textFill>
            <w14:solidFill>
              <w14:schemeClr w14:val="tx1"/>
            </w14:solidFill>
          </w14:textFill>
        </w:rPr>
      </w:pPr>
      <w:r>
        <w:rPr>
          <w:rFonts w:hint="eastAsia" w:ascii="宋体" w:hAnsi="宋体" w:cs="Arial"/>
          <w:color w:val="000000" w:themeColor="text1"/>
          <w:sz w:val="22"/>
          <w:szCs w:val="22"/>
          <w14:textFill>
            <w14:solidFill>
              <w14:schemeClr w14:val="tx1"/>
            </w14:solidFill>
          </w14:textFill>
        </w:rPr>
        <w:t>保质期内因产品本身缺陷（非人为因素）造成各种故障应由中标人免费技术服务和维修。</w:t>
      </w:r>
    </w:p>
    <w:p>
      <w:pPr>
        <w:numPr>
          <w:ilvl w:val="1"/>
          <w:numId w:val="39"/>
        </w:numPr>
        <w:autoSpaceDE w:val="0"/>
        <w:autoSpaceDN w:val="0"/>
        <w:adjustRightInd w:val="0"/>
        <w:snapToGrid w:val="0"/>
        <w:spacing w:line="460" w:lineRule="exact"/>
        <w:textAlignment w:val="bottom"/>
        <w:rPr>
          <w:rFonts w:ascii="宋体" w:hAnsi="宋体" w:cs="Arial"/>
          <w:color w:val="auto"/>
          <w:sz w:val="22"/>
          <w:szCs w:val="22"/>
        </w:rPr>
      </w:pPr>
      <w:r>
        <w:rPr>
          <w:rFonts w:hint="eastAsia" w:ascii="宋体" w:hAnsi="宋体" w:cs="Arial"/>
          <w:color w:val="auto"/>
          <w:sz w:val="22"/>
          <w:szCs w:val="22"/>
        </w:rPr>
        <w:t>在质保期内，中标人应负责对其提供的设备进行现场维修、损坏件更换，不收取额外</w:t>
      </w:r>
      <w:r>
        <w:rPr>
          <w:rFonts w:hint="eastAsia" w:ascii="宋体" w:hAnsi="宋体" w:cs="Arial"/>
          <w:color w:val="auto"/>
          <w:sz w:val="22"/>
          <w:szCs w:val="22"/>
          <w:lang w:eastAsia="zh-CN"/>
        </w:rPr>
        <w:t>服务</w:t>
      </w:r>
      <w:r>
        <w:rPr>
          <w:rFonts w:hint="eastAsia" w:ascii="宋体" w:hAnsi="宋体" w:cs="Arial"/>
          <w:color w:val="auto"/>
          <w:sz w:val="22"/>
          <w:szCs w:val="22"/>
        </w:rPr>
        <w:t>费用，响应时间必须满足车辆正常使用的要求。</w:t>
      </w:r>
    </w:p>
    <w:p>
      <w:pPr>
        <w:numPr>
          <w:ilvl w:val="1"/>
          <w:numId w:val="39"/>
        </w:numPr>
        <w:autoSpaceDE w:val="0"/>
        <w:autoSpaceDN w:val="0"/>
        <w:adjustRightInd w:val="0"/>
        <w:snapToGrid w:val="0"/>
        <w:spacing w:line="460" w:lineRule="exact"/>
        <w:textAlignment w:val="bottom"/>
        <w:rPr>
          <w:rFonts w:ascii="宋体" w:hAnsi="宋体" w:cs="Arial"/>
          <w:color w:val="000000" w:themeColor="text1"/>
          <w:sz w:val="22"/>
          <w:szCs w:val="22"/>
          <w14:textFill>
            <w14:solidFill>
              <w14:schemeClr w14:val="tx1"/>
            </w14:solidFill>
          </w14:textFill>
        </w:rPr>
      </w:pPr>
      <w:r>
        <w:rPr>
          <w:rFonts w:hint="eastAsia" w:ascii="宋体" w:hAnsi="宋体" w:cs="Arial"/>
          <w:color w:val="000000" w:themeColor="text1"/>
          <w:sz w:val="22"/>
          <w:szCs w:val="22"/>
          <w14:textFill>
            <w14:solidFill>
              <w14:schemeClr w14:val="tx1"/>
            </w14:solidFill>
          </w14:textFill>
        </w:rPr>
        <w:t>质量保修期内，要求中标人7×24小时电话响应技术咨询；除非招标文件另有规定，中标人须在接到招标人维修要求电话后，24小时内派技术人员到现场维修，维修过程中所需材料中标人在接到通知后应及时提供，最长不超过3天必须送达招标人。若短期无法修复的，应及时提供相应备用设备并负责安装调试，为此，投标人应提供相应承诺书。</w:t>
      </w:r>
    </w:p>
    <w:p>
      <w:pPr>
        <w:pStyle w:val="15"/>
        <w:numPr>
          <w:ilvl w:val="0"/>
          <w:numId w:val="39"/>
        </w:numPr>
        <w:spacing w:line="440" w:lineRule="exact"/>
        <w:rPr>
          <w:rFonts w:hAnsi="宋体"/>
          <w:color w:val="000000" w:themeColor="text1"/>
          <w:sz w:val="22"/>
          <w:szCs w:val="22"/>
          <w14:textFill>
            <w14:solidFill>
              <w14:schemeClr w14:val="tx1"/>
            </w14:solidFill>
          </w14:textFill>
        </w:rPr>
      </w:pPr>
      <w:r>
        <w:rPr>
          <w:rFonts w:hint="eastAsia" w:hAnsi="宋体"/>
          <w:color w:val="000000" w:themeColor="text1"/>
          <w:sz w:val="22"/>
          <w:szCs w:val="22"/>
          <w14:textFill>
            <w14:solidFill>
              <w14:schemeClr w14:val="tx1"/>
            </w14:solidFill>
          </w14:textFill>
        </w:rPr>
        <w:t>投标人要负责对车辆的报批手续，并承诺车辆的一次性验收合格。如一次性验收不合格，由此发生的一切费用由中标人负责，由此延误工期而造成的损失在采购款中扣除。</w:t>
      </w:r>
    </w:p>
    <w:p>
      <w:pPr>
        <w:pStyle w:val="15"/>
        <w:numPr>
          <w:ilvl w:val="0"/>
          <w:numId w:val="39"/>
        </w:numPr>
        <w:spacing w:line="440" w:lineRule="exact"/>
        <w:rPr>
          <w:rFonts w:hAnsi="宋体"/>
          <w:color w:val="C00000"/>
          <w:sz w:val="22"/>
          <w:szCs w:val="22"/>
        </w:rPr>
      </w:pPr>
      <w:r>
        <w:rPr>
          <w:rFonts w:hAnsi="宋体"/>
          <w:color w:val="auto"/>
          <w:sz w:val="22"/>
          <w:szCs w:val="22"/>
        </w:rPr>
        <w:t>验收标准：</w:t>
      </w:r>
      <w:r>
        <w:rPr>
          <w:rFonts w:hint="eastAsia" w:hAnsi="宋体"/>
          <w:color w:val="auto"/>
          <w:sz w:val="22"/>
          <w:szCs w:val="22"/>
        </w:rPr>
        <w:t>中标人</w:t>
      </w:r>
      <w:r>
        <w:rPr>
          <w:rFonts w:hAnsi="宋体"/>
          <w:color w:val="auto"/>
          <w:sz w:val="22"/>
          <w:szCs w:val="22"/>
        </w:rPr>
        <w:t>提供①车辆用户</w:t>
      </w:r>
      <w:r>
        <w:rPr>
          <w:rFonts w:hint="eastAsia" w:hAnsi="宋体"/>
          <w:color w:val="auto"/>
          <w:sz w:val="22"/>
          <w:szCs w:val="22"/>
        </w:rPr>
        <w:t>使用</w:t>
      </w:r>
      <w:r>
        <w:rPr>
          <w:rFonts w:hAnsi="宋体"/>
          <w:color w:val="auto"/>
          <w:sz w:val="22"/>
          <w:szCs w:val="22"/>
        </w:rPr>
        <w:t>手册、合格证，②整车使用说明书，③质保内维修卡</w:t>
      </w:r>
      <w:r>
        <w:rPr>
          <w:rFonts w:hint="eastAsia" w:hAnsi="宋体"/>
          <w:color w:val="auto"/>
          <w:sz w:val="22"/>
          <w:szCs w:val="22"/>
          <w:lang w:eastAsia="zh-CN"/>
        </w:rPr>
        <w:t>（系统验证）</w:t>
      </w:r>
      <w:r>
        <w:rPr>
          <w:rFonts w:hAnsi="宋体"/>
          <w:color w:val="auto"/>
          <w:sz w:val="22"/>
          <w:szCs w:val="22"/>
        </w:rPr>
        <w:t>，④整车为全新配备未经使用，样品车和使用过的车拒绝验收</w:t>
      </w:r>
      <w:r>
        <w:rPr>
          <w:rFonts w:hint="eastAsia" w:hAnsi="宋体"/>
          <w:color w:val="auto"/>
          <w:sz w:val="22"/>
          <w:szCs w:val="22"/>
        </w:rPr>
        <w:t>。</w:t>
      </w:r>
      <w:bookmarkStart w:id="177" w:name="_Toc221356897"/>
      <w:bookmarkStart w:id="178" w:name="_Toc221374633"/>
      <w:bookmarkStart w:id="179" w:name="_Toc221356960"/>
      <w:r>
        <w:rPr>
          <w:rFonts w:hint="eastAsia" w:hAnsi="宋体" w:cs="Arial"/>
          <w:color w:val="000000" w:themeColor="text1"/>
          <w:sz w:val="22"/>
          <w:szCs w:val="22"/>
          <w14:textFill>
            <w14:solidFill>
              <w14:schemeClr w14:val="tx1"/>
            </w14:solidFill>
          </w14:textFill>
        </w:rPr>
        <w:br w:type="page"/>
      </w:r>
      <w:bookmarkStart w:id="180" w:name="_Toc221423626"/>
      <w:bookmarkStart w:id="181" w:name="_Toc262049426"/>
      <w:bookmarkStart w:id="182" w:name="_Toc382360965"/>
      <w:bookmarkStart w:id="183" w:name="_Toc239145361"/>
      <w:bookmarkStart w:id="184" w:name="_Toc249758722"/>
      <w:bookmarkStart w:id="185" w:name="_Toc241404209"/>
      <w:bookmarkStart w:id="186" w:name="_Toc245191321"/>
      <w:bookmarkStart w:id="187" w:name="_Toc249758872"/>
      <w:bookmarkStart w:id="188" w:name="_Toc262105511"/>
      <w:bookmarkStart w:id="189" w:name="_Toc246261272"/>
      <w:bookmarkStart w:id="190" w:name="_Toc245722288"/>
      <w:bookmarkStart w:id="191" w:name="_Toc222114886"/>
      <w:bookmarkStart w:id="192" w:name="_Toc223716005"/>
      <w:r>
        <w:rPr>
          <w:rFonts w:hint="eastAsia" w:hAnsi="宋体" w:cs="Arial"/>
          <w:color w:val="000000" w:themeColor="text1"/>
          <w:sz w:val="22"/>
          <w:szCs w:val="22"/>
          <w:lang w:val="en-US" w:eastAsia="zh-CN"/>
          <w14:textFill>
            <w14:solidFill>
              <w14:schemeClr w14:val="tx1"/>
            </w14:solidFill>
          </w14:textFill>
        </w:rPr>
        <w:t xml:space="preserve">                 </w:t>
      </w:r>
      <w:r>
        <w:rPr>
          <w:rFonts w:hint="eastAsia" w:hAnsi="宋体" w:cs="Arial"/>
          <w:color w:val="000000" w:themeColor="text1"/>
          <w:sz w:val="36"/>
          <w:szCs w:val="36"/>
          <w14:textFill>
            <w14:solidFill>
              <w14:schemeClr w14:val="tx1"/>
            </w14:solidFill>
          </w14:textFill>
        </w:rPr>
        <w:t>第五部分   评标原则及方法</w:t>
      </w:r>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p>
    <w:p>
      <w:pPr>
        <w:rPr>
          <w:rFonts w:ascii="宋体" w:hAnsi="宋体"/>
          <w:color w:val="000000" w:themeColor="text1"/>
          <w14:textFill>
            <w14:solidFill>
              <w14:schemeClr w14:val="tx1"/>
            </w14:solidFill>
          </w14:textFill>
        </w:rPr>
      </w:pPr>
    </w:p>
    <w:p>
      <w:pPr>
        <w:tabs>
          <w:tab w:val="left" w:pos="2880"/>
        </w:tabs>
        <w:spacing w:line="420" w:lineRule="exact"/>
        <w:ind w:left="439" w:leftChars="209"/>
        <w:rPr>
          <w:rFonts w:ascii="宋体" w:hAnsi="宋体"/>
          <w:b/>
          <w:color w:val="000000" w:themeColor="text1"/>
          <w:sz w:val="22"/>
          <w:szCs w:val="22"/>
          <w14:textFill>
            <w14:solidFill>
              <w14:schemeClr w14:val="tx1"/>
            </w14:solidFill>
          </w14:textFill>
        </w:rPr>
      </w:pPr>
      <w:r>
        <w:rPr>
          <w:rFonts w:hint="eastAsia" w:ascii="宋体" w:hAnsi="宋体"/>
          <w:b/>
          <w:color w:val="000000" w:themeColor="text1"/>
          <w:sz w:val="22"/>
          <w:szCs w:val="22"/>
          <w14:textFill>
            <w14:solidFill>
              <w14:schemeClr w14:val="tx1"/>
            </w14:solidFill>
          </w14:textFill>
        </w:rPr>
        <w:t>据《温州市国有企业采购管理办法（试行）》等相关法规特制定以下评标办法。</w:t>
      </w:r>
    </w:p>
    <w:p>
      <w:pPr>
        <w:pStyle w:val="3"/>
        <w:spacing w:beforeLines="50" w:afterLines="50"/>
        <w:rPr>
          <w:rFonts w:ascii="宋体" w:hAnsi="宋体" w:cs="Arial"/>
          <w:b/>
          <w:color w:val="000000" w:themeColor="text1"/>
          <w14:textFill>
            <w14:solidFill>
              <w14:schemeClr w14:val="tx1"/>
            </w14:solidFill>
          </w14:textFill>
        </w:rPr>
      </w:pPr>
      <w:bookmarkStart w:id="193" w:name="_Toc221356961"/>
      <w:bookmarkStart w:id="194" w:name="_Toc221356898"/>
      <w:r>
        <w:rPr>
          <w:rFonts w:hint="eastAsia" w:ascii="宋体" w:hAnsi="宋体" w:cs="Arial"/>
          <w:b/>
          <w:color w:val="000000" w:themeColor="text1"/>
          <w14:textFill>
            <w14:solidFill>
              <w14:schemeClr w14:val="tx1"/>
            </w14:solidFill>
          </w14:textFill>
        </w:rPr>
        <w:t>一. 总  则</w:t>
      </w:r>
      <w:bookmarkEnd w:id="193"/>
      <w:bookmarkEnd w:id="194"/>
    </w:p>
    <w:p>
      <w:pPr>
        <w:spacing w:line="420" w:lineRule="exact"/>
        <w:ind w:left="439" w:leftChars="209"/>
        <w:rPr>
          <w:rFonts w:ascii="宋体" w:hAnsi="宋体" w:cs="Arial"/>
          <w:color w:val="000000" w:themeColor="text1"/>
          <w:sz w:val="22"/>
          <w:szCs w:val="22"/>
          <w14:textFill>
            <w14:solidFill>
              <w14:schemeClr w14:val="tx1"/>
            </w14:solidFill>
          </w14:textFill>
        </w:rPr>
      </w:pPr>
      <w:r>
        <w:rPr>
          <w:rFonts w:hint="eastAsia" w:ascii="宋体" w:hAnsi="宋体" w:cs="Arial"/>
          <w:color w:val="000000" w:themeColor="text1"/>
          <w:sz w:val="22"/>
          <w:szCs w:val="22"/>
          <w14:textFill>
            <w14:solidFill>
              <w14:schemeClr w14:val="tx1"/>
            </w14:solidFill>
          </w14:textFill>
        </w:rPr>
        <w:t>评标工作遵循公平、公正、科学、择优原则和诚实、信誉、效率的服务原则。本着科学、严谨的态度，认真进行评标。择优选用，推进技术进步，严格按照招标文件的商务、技术要求，对投标文件进行综合评定，提出优选方案，编写评标报告。对落标单位，评委会不作任何落标解释。投标人不得以任何方式干扰招投标工作的进行，一经发现其投标文件将被拒绝。</w:t>
      </w:r>
    </w:p>
    <w:p>
      <w:pPr>
        <w:spacing w:line="420" w:lineRule="exact"/>
        <w:rPr>
          <w:rFonts w:ascii="宋体" w:hAnsi="宋体" w:cs="Arial"/>
          <w:b/>
          <w:color w:val="000000" w:themeColor="text1"/>
          <w:sz w:val="22"/>
          <w14:textFill>
            <w14:solidFill>
              <w14:schemeClr w14:val="tx1"/>
            </w14:solidFill>
          </w14:textFill>
        </w:rPr>
      </w:pPr>
      <w:r>
        <w:rPr>
          <w:rFonts w:hint="eastAsia" w:ascii="宋体" w:hAnsi="宋体" w:cs="Arial"/>
          <w:b/>
          <w:color w:val="000000" w:themeColor="text1"/>
          <w:sz w:val="22"/>
          <w14:textFill>
            <w14:solidFill>
              <w14:schemeClr w14:val="tx1"/>
            </w14:solidFill>
          </w14:textFill>
        </w:rPr>
        <w:t>二、评标组织</w:t>
      </w:r>
    </w:p>
    <w:p>
      <w:pPr>
        <w:spacing w:line="420" w:lineRule="exact"/>
        <w:ind w:left="439" w:leftChars="209"/>
        <w:rPr>
          <w:rFonts w:ascii="宋体" w:hAnsi="宋体" w:cs="Arial"/>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评标工作由招标人依法组建的评标委员会负责，评标全过程由有关部门指导监督。</w:t>
      </w:r>
    </w:p>
    <w:p>
      <w:pPr>
        <w:spacing w:line="420" w:lineRule="exact"/>
        <w:rPr>
          <w:rFonts w:ascii="宋体" w:hAnsi="宋体" w:cs="Arial"/>
          <w:b/>
          <w:color w:val="000000" w:themeColor="text1"/>
          <w:sz w:val="22"/>
          <w14:textFill>
            <w14:solidFill>
              <w14:schemeClr w14:val="tx1"/>
            </w14:solidFill>
          </w14:textFill>
        </w:rPr>
      </w:pPr>
      <w:r>
        <w:rPr>
          <w:rFonts w:hint="eastAsia" w:ascii="宋体" w:hAnsi="宋体" w:cs="Arial"/>
          <w:b/>
          <w:color w:val="000000" w:themeColor="text1"/>
          <w:sz w:val="22"/>
          <w14:textFill>
            <w14:solidFill>
              <w14:schemeClr w14:val="tx1"/>
            </w14:solidFill>
          </w14:textFill>
        </w:rPr>
        <w:t>三、评标程序</w:t>
      </w:r>
    </w:p>
    <w:p>
      <w:pPr>
        <w:spacing w:line="400" w:lineRule="exact"/>
        <w:ind w:left="357" w:leftChars="170"/>
        <w:rPr>
          <w:rFonts w:ascii="宋体" w:hAnsi="宋体" w:cs="Arial"/>
          <w:color w:val="000000" w:themeColor="text1"/>
          <w:sz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评标委员会对各投标人的投标资格进行审查；然后对合格投标人的技术资信标进行评审；技术资信标评审结束后即公布投标人技术资信标得分情况，之后开商务标；对商务标评审后，根据综合评审结果，提交评标报告。</w:t>
      </w:r>
    </w:p>
    <w:p>
      <w:pPr>
        <w:spacing w:line="400" w:lineRule="exact"/>
        <w:rPr>
          <w:rFonts w:ascii="宋体" w:hAnsi="宋体" w:cs="Arial"/>
          <w:b/>
          <w:color w:val="000000" w:themeColor="text1"/>
          <w:sz w:val="22"/>
          <w14:textFill>
            <w14:solidFill>
              <w14:schemeClr w14:val="tx1"/>
            </w14:solidFill>
          </w14:textFill>
        </w:rPr>
      </w:pPr>
      <w:r>
        <w:rPr>
          <w:rFonts w:hint="eastAsia" w:ascii="宋体" w:hAnsi="宋体" w:cs="Arial"/>
          <w:b/>
          <w:color w:val="000000" w:themeColor="text1"/>
          <w:sz w:val="22"/>
          <w14:textFill>
            <w14:solidFill>
              <w14:schemeClr w14:val="tx1"/>
            </w14:solidFill>
          </w14:textFill>
        </w:rPr>
        <w:t>四、评标办法</w:t>
      </w:r>
    </w:p>
    <w:p>
      <w:pPr>
        <w:spacing w:line="400" w:lineRule="exact"/>
        <w:ind w:left="439" w:leftChars="209"/>
        <w:rPr>
          <w:rFonts w:ascii="宋体" w:hAnsi="宋体" w:cs="Arial"/>
          <w:b/>
          <w:color w:val="000000" w:themeColor="text1"/>
          <w:sz w:val="22"/>
          <w14:textFill>
            <w14:solidFill>
              <w14:schemeClr w14:val="tx1"/>
            </w14:solidFill>
          </w14:textFill>
        </w:rPr>
      </w:pPr>
      <w:bookmarkStart w:id="195" w:name="_Toc221356902"/>
      <w:bookmarkStart w:id="196" w:name="_Toc221356965"/>
      <w:r>
        <w:rPr>
          <w:rFonts w:hint="eastAsia" w:ascii="宋体" w:hAnsi="宋体" w:cs="Arial"/>
          <w:color w:val="000000" w:themeColor="text1"/>
          <w:sz w:val="22"/>
          <w14:textFill>
            <w14:solidFill>
              <w14:schemeClr w14:val="tx1"/>
            </w14:solidFill>
          </w14:textFill>
        </w:rPr>
        <w:t>本次采购采用百分制综合评分法，即投标人最大限度地满足招标文件实质性要求的基础上，按照招标文件的各项因素进行综合评审后，在有效标中按投标人的最终得分（即技术资信分与商务报价分之和）高低进行排序。根据采购要求，</w:t>
      </w:r>
      <w:r>
        <w:rPr>
          <w:rFonts w:hint="eastAsia" w:ascii="宋体" w:hAnsi="宋体" w:cs="Arial"/>
          <w:b/>
          <w:color w:val="000000" w:themeColor="text1"/>
          <w:sz w:val="22"/>
          <w14:textFill>
            <w14:solidFill>
              <w14:schemeClr w14:val="tx1"/>
            </w14:solidFill>
          </w14:textFill>
        </w:rPr>
        <w:t>总分设定为100分；其中技术资信标60分，商务标（报价）40分。</w:t>
      </w:r>
    </w:p>
    <w:p>
      <w:pPr>
        <w:spacing w:line="420" w:lineRule="exact"/>
        <w:rPr>
          <w:rFonts w:ascii="宋体" w:hAnsi="宋体" w:cs="Arial"/>
          <w:b/>
          <w:color w:val="000000" w:themeColor="text1"/>
          <w:sz w:val="22"/>
          <w14:textFill>
            <w14:solidFill>
              <w14:schemeClr w14:val="tx1"/>
            </w14:solidFill>
          </w14:textFill>
        </w:rPr>
      </w:pPr>
      <w:r>
        <w:rPr>
          <w:rFonts w:hint="eastAsia" w:ascii="宋体" w:hAnsi="宋体" w:cs="Arial"/>
          <w:b/>
          <w:color w:val="000000" w:themeColor="text1"/>
          <w:sz w:val="22"/>
          <w14:textFill>
            <w14:solidFill>
              <w14:schemeClr w14:val="tx1"/>
            </w14:solidFill>
          </w14:textFill>
        </w:rPr>
        <w:t>五、评分细则</w:t>
      </w:r>
      <w:bookmarkEnd w:id="195"/>
      <w:bookmarkEnd w:id="196"/>
    </w:p>
    <w:p>
      <w:pPr>
        <w:spacing w:line="400" w:lineRule="exact"/>
        <w:ind w:left="439" w:leftChars="209"/>
        <w:rPr>
          <w:rFonts w:ascii="宋体" w:hAnsi="宋体" w:cs="Arial"/>
          <w:color w:val="000000" w:themeColor="text1"/>
          <w:sz w:val="22"/>
          <w14:textFill>
            <w14:solidFill>
              <w14:schemeClr w14:val="tx1"/>
            </w14:solidFill>
          </w14:textFill>
        </w:rPr>
      </w:pPr>
      <w:bookmarkStart w:id="197" w:name="_Toc221356966"/>
      <w:bookmarkStart w:id="198" w:name="_Toc221356903"/>
      <w:r>
        <w:rPr>
          <w:rFonts w:hint="eastAsia" w:ascii="宋体" w:hAnsi="宋体" w:cs="Arial"/>
          <w:color w:val="000000" w:themeColor="text1"/>
          <w:sz w:val="22"/>
          <w14:textFill>
            <w14:solidFill>
              <w14:schemeClr w14:val="tx1"/>
            </w14:solidFill>
          </w14:textFill>
        </w:rPr>
        <w:t>各评委成员按下列评分项目进行评定，每人一张评分计算表，由评标委员会成员各自评定打分并记实名。如任何一张表的一项评分内容分值超过规定的范围，则该张表无效。评标委员会成员对各投标人的各项评分内容评分的合计分的算术平均值为该投标人技术资信分的最终得分（四舍五入，保留小数点后二位）。</w:t>
      </w:r>
    </w:p>
    <w:p>
      <w:pPr>
        <w:spacing w:line="400" w:lineRule="exact"/>
        <w:rPr>
          <w:rFonts w:ascii="宋体" w:hAnsi="宋体" w:cs="Arial"/>
          <w:color w:val="000000" w:themeColor="text1"/>
          <w:sz w:val="22"/>
          <w14:textFill>
            <w14:solidFill>
              <w14:schemeClr w14:val="tx1"/>
            </w14:solidFill>
          </w14:textFill>
        </w:rPr>
      </w:pPr>
      <w:r>
        <w:rPr>
          <w:rFonts w:hint="eastAsia" w:ascii="宋体" w:hAnsi="宋体" w:cs="Arial"/>
          <w:color w:val="000000" w:themeColor="text1"/>
          <w:sz w:val="22"/>
          <w14:textFill>
            <w14:solidFill>
              <w14:schemeClr w14:val="tx1"/>
            </w14:solidFill>
          </w14:textFill>
        </w:rPr>
        <w:t>1技术资信分的评定（60分）</w:t>
      </w:r>
    </w:p>
    <w:tbl>
      <w:tblPr>
        <w:tblStyle w:val="30"/>
        <w:tblW w:w="9723" w:type="dxa"/>
        <w:jc w:val="center"/>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752"/>
        <w:gridCol w:w="1134"/>
        <w:gridCol w:w="3785"/>
        <w:gridCol w:w="1134"/>
        <w:gridCol w:w="934"/>
        <w:gridCol w:w="992"/>
        <w:gridCol w:w="992"/>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624" w:hRule="atLeast"/>
          <w:jc w:val="center"/>
        </w:trPr>
        <w:tc>
          <w:tcPr>
            <w:tcW w:w="752" w:type="dxa"/>
            <w:vAlign w:val="center"/>
          </w:tcPr>
          <w:p>
            <w:pPr>
              <w:adjustRightInd w:val="0"/>
              <w:snapToGrid w:val="0"/>
              <w:spacing w:line="360" w:lineRule="auto"/>
              <w:jc w:val="center"/>
              <w:rPr>
                <w:rFonts w:asciiTheme="minorEastAsia" w:hAnsiTheme="minorEastAsia" w:eastAsiaTheme="minorEastAsia" w:cstheme="minorEastAsia"/>
                <w:snapToGrid w:val="0"/>
                <w:szCs w:val="21"/>
              </w:rPr>
            </w:pPr>
            <w:r>
              <w:rPr>
                <w:rFonts w:hint="eastAsia" w:asciiTheme="minorEastAsia" w:hAnsiTheme="minorEastAsia" w:eastAsiaTheme="minorEastAsia" w:cstheme="minorEastAsia"/>
                <w:snapToGrid w:val="0"/>
                <w:szCs w:val="21"/>
              </w:rPr>
              <w:t>序号</w:t>
            </w:r>
          </w:p>
        </w:tc>
        <w:tc>
          <w:tcPr>
            <w:tcW w:w="1134" w:type="dxa"/>
            <w:vAlign w:val="center"/>
          </w:tcPr>
          <w:p>
            <w:pPr>
              <w:adjustRightInd w:val="0"/>
              <w:snapToGrid w:val="0"/>
              <w:spacing w:line="360" w:lineRule="auto"/>
              <w:jc w:val="center"/>
              <w:rPr>
                <w:rFonts w:asciiTheme="minorEastAsia" w:hAnsiTheme="minorEastAsia" w:eastAsiaTheme="minorEastAsia" w:cstheme="minorEastAsia"/>
                <w:snapToGrid w:val="0"/>
                <w:szCs w:val="21"/>
              </w:rPr>
            </w:pPr>
            <w:r>
              <w:rPr>
                <w:rFonts w:hint="eastAsia" w:asciiTheme="minorEastAsia" w:hAnsiTheme="minorEastAsia" w:eastAsiaTheme="minorEastAsia" w:cstheme="minorEastAsia"/>
                <w:szCs w:val="21"/>
              </w:rPr>
              <w:t>评分项目</w:t>
            </w:r>
          </w:p>
        </w:tc>
        <w:tc>
          <w:tcPr>
            <w:tcW w:w="3785" w:type="dxa"/>
            <w:vAlign w:val="center"/>
          </w:tcPr>
          <w:p>
            <w:pPr>
              <w:adjustRightInd w:val="0"/>
              <w:snapToGrid w:val="0"/>
              <w:spacing w:line="360" w:lineRule="auto"/>
              <w:jc w:val="center"/>
              <w:rPr>
                <w:rFonts w:asciiTheme="minorEastAsia" w:hAnsiTheme="minorEastAsia" w:eastAsiaTheme="minorEastAsia" w:cstheme="minorEastAsia"/>
                <w:snapToGrid w:val="0"/>
                <w:szCs w:val="21"/>
              </w:rPr>
            </w:pPr>
            <w:r>
              <w:rPr>
                <w:rFonts w:hint="eastAsia" w:asciiTheme="minorEastAsia" w:hAnsiTheme="minorEastAsia" w:eastAsiaTheme="minorEastAsia" w:cstheme="minorEastAsia"/>
                <w:snapToGrid w:val="0"/>
                <w:szCs w:val="21"/>
              </w:rPr>
              <w:t>评分内容</w:t>
            </w:r>
          </w:p>
        </w:tc>
        <w:tc>
          <w:tcPr>
            <w:tcW w:w="1134" w:type="dxa"/>
            <w:vAlign w:val="center"/>
          </w:tcPr>
          <w:p>
            <w:pPr>
              <w:adjustRightInd w:val="0"/>
              <w:snapToGrid w:val="0"/>
              <w:spacing w:line="360" w:lineRule="auto"/>
              <w:jc w:val="center"/>
              <w:rPr>
                <w:rFonts w:asciiTheme="minorEastAsia" w:hAnsiTheme="minorEastAsia" w:eastAsiaTheme="minorEastAsia" w:cstheme="minorEastAsia"/>
                <w:snapToGrid w:val="0"/>
                <w:szCs w:val="21"/>
              </w:rPr>
            </w:pPr>
            <w:r>
              <w:rPr>
                <w:rFonts w:hint="eastAsia" w:asciiTheme="minorEastAsia" w:hAnsiTheme="minorEastAsia" w:eastAsiaTheme="minorEastAsia" w:cstheme="minorEastAsia"/>
                <w:snapToGrid w:val="0"/>
                <w:szCs w:val="21"/>
              </w:rPr>
              <w:t>分值范围</w:t>
            </w:r>
          </w:p>
        </w:tc>
        <w:tc>
          <w:tcPr>
            <w:tcW w:w="934" w:type="dxa"/>
            <w:vAlign w:val="center"/>
          </w:tcPr>
          <w:p>
            <w:pPr>
              <w:jc w:val="center"/>
              <w:rPr>
                <w:rFonts w:asciiTheme="minorEastAsia" w:hAnsiTheme="minorEastAsia" w:eastAsiaTheme="minorEastAsia" w:cstheme="minorEastAsia"/>
                <w:snapToGrid w:val="0"/>
                <w:szCs w:val="21"/>
              </w:rPr>
            </w:pPr>
            <w:r>
              <w:rPr>
                <w:rFonts w:hint="eastAsia" w:asciiTheme="minorEastAsia" w:hAnsiTheme="minorEastAsia" w:eastAsiaTheme="minorEastAsia" w:cstheme="minorEastAsia"/>
                <w:szCs w:val="21"/>
              </w:rPr>
              <w:t>A档</w:t>
            </w:r>
          </w:p>
        </w:tc>
        <w:tc>
          <w:tcPr>
            <w:tcW w:w="992" w:type="dxa"/>
            <w:vAlign w:val="center"/>
          </w:tcPr>
          <w:p>
            <w:pPr>
              <w:jc w:val="center"/>
              <w:rPr>
                <w:rFonts w:asciiTheme="minorEastAsia" w:hAnsiTheme="minorEastAsia" w:eastAsiaTheme="minorEastAsia" w:cstheme="minorEastAsia"/>
                <w:snapToGrid w:val="0"/>
                <w:szCs w:val="21"/>
              </w:rPr>
            </w:pPr>
            <w:r>
              <w:rPr>
                <w:rFonts w:hint="eastAsia" w:asciiTheme="minorEastAsia" w:hAnsiTheme="minorEastAsia" w:eastAsiaTheme="minorEastAsia" w:cstheme="minorEastAsia"/>
                <w:szCs w:val="21"/>
              </w:rPr>
              <w:t>B档</w:t>
            </w:r>
          </w:p>
        </w:tc>
        <w:tc>
          <w:tcPr>
            <w:tcW w:w="992" w:type="dxa"/>
            <w:vAlign w:val="center"/>
          </w:tcPr>
          <w:p>
            <w:pPr>
              <w:jc w:val="center"/>
              <w:rPr>
                <w:rFonts w:asciiTheme="minorEastAsia" w:hAnsiTheme="minorEastAsia" w:eastAsiaTheme="minorEastAsia" w:cstheme="minorEastAsia"/>
                <w:snapToGrid w:val="0"/>
                <w:szCs w:val="21"/>
              </w:rPr>
            </w:pPr>
            <w:r>
              <w:rPr>
                <w:rFonts w:hint="eastAsia" w:asciiTheme="minorEastAsia" w:hAnsiTheme="minorEastAsia" w:eastAsiaTheme="minorEastAsia" w:cstheme="minorEastAsia"/>
                <w:szCs w:val="21"/>
              </w:rPr>
              <w:t>C档</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90" w:hRule="atLeast"/>
          <w:jc w:val="center"/>
        </w:trPr>
        <w:tc>
          <w:tcPr>
            <w:tcW w:w="9723" w:type="dxa"/>
            <w:gridSpan w:val="7"/>
            <w:vAlign w:val="center"/>
          </w:tcPr>
          <w:p>
            <w:pPr>
              <w:pStyle w:val="15"/>
              <w:snapToGrid w:val="0"/>
              <w:spacing w:line="360" w:lineRule="auto"/>
              <w:rPr>
                <w:rFonts w:asciiTheme="minorEastAsia" w:hAnsiTheme="minorEastAsia" w:eastAsiaTheme="minorEastAsia" w:cstheme="minorEastAsia"/>
                <w:snapToGrid w:val="0"/>
              </w:rPr>
            </w:pPr>
            <w:r>
              <w:rPr>
                <w:rFonts w:hint="eastAsia" w:asciiTheme="minorEastAsia" w:hAnsiTheme="minorEastAsia" w:eastAsiaTheme="minorEastAsia" w:cstheme="minorEastAsia"/>
                <w:snapToGrid w:val="0"/>
              </w:rPr>
              <w:t>（一）技术部分（34分）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90" w:hRule="atLeast"/>
          <w:jc w:val="center"/>
        </w:trPr>
        <w:tc>
          <w:tcPr>
            <w:tcW w:w="752" w:type="dxa"/>
            <w:vMerge w:val="restart"/>
            <w:vAlign w:val="center"/>
          </w:tcPr>
          <w:p>
            <w:pPr>
              <w:adjustRightInd w:val="0"/>
              <w:snapToGrid w:val="0"/>
              <w:spacing w:line="360" w:lineRule="auto"/>
              <w:jc w:val="center"/>
              <w:rPr>
                <w:rFonts w:asciiTheme="minorEastAsia" w:hAnsiTheme="minorEastAsia" w:eastAsiaTheme="minorEastAsia" w:cstheme="minorEastAsia"/>
                <w:snapToGrid w:val="0"/>
                <w:szCs w:val="21"/>
              </w:rPr>
            </w:pPr>
            <w:r>
              <w:rPr>
                <w:rFonts w:hint="eastAsia" w:asciiTheme="minorEastAsia" w:hAnsiTheme="minorEastAsia" w:eastAsiaTheme="minorEastAsia" w:cstheme="minorEastAsia"/>
                <w:snapToGrid w:val="0"/>
                <w:szCs w:val="21"/>
              </w:rPr>
              <w:t>1</w:t>
            </w:r>
          </w:p>
        </w:tc>
        <w:tc>
          <w:tcPr>
            <w:tcW w:w="1134" w:type="dxa"/>
            <w:vMerge w:val="restart"/>
            <w:vAlign w:val="center"/>
          </w:tcPr>
          <w:p>
            <w:pPr>
              <w:snapToGrid w:val="0"/>
              <w:spacing w:line="360" w:lineRule="auto"/>
              <w:jc w:val="center"/>
              <w:rPr>
                <w:rFonts w:asciiTheme="minorEastAsia" w:hAnsiTheme="minorEastAsia" w:eastAsiaTheme="minorEastAsia" w:cstheme="minorEastAsia"/>
                <w:snapToGrid w:val="0"/>
                <w:szCs w:val="21"/>
              </w:rPr>
            </w:pPr>
            <w:r>
              <w:rPr>
                <w:rFonts w:hint="eastAsia" w:asciiTheme="minorEastAsia" w:hAnsiTheme="minorEastAsia" w:eastAsiaTheme="minorEastAsia" w:cstheme="minorEastAsia"/>
                <w:szCs w:val="21"/>
              </w:rPr>
              <w:t>根据所投产品的样式、配置、功能、技术性能、检验报告、质量的优劣及符合性综合评定打分</w:t>
            </w:r>
          </w:p>
        </w:tc>
        <w:tc>
          <w:tcPr>
            <w:tcW w:w="3785" w:type="dxa"/>
            <w:vAlign w:val="center"/>
          </w:tcPr>
          <w:p>
            <w:pPr>
              <w:pStyle w:val="15"/>
              <w:snapToGrid w:val="0"/>
              <w:spacing w:line="360" w:lineRule="auto"/>
              <w:rPr>
                <w:rFonts w:asciiTheme="minorEastAsia" w:hAnsiTheme="minorEastAsia" w:cstheme="minorEastAsia"/>
                <w:color w:val="auto"/>
              </w:rPr>
            </w:pPr>
            <w:r>
              <w:rPr>
                <w:rFonts w:hint="eastAsia" w:hAnsi="宋体" w:cs="宋体"/>
                <w:snapToGrid w:val="0"/>
                <w:color w:val="auto"/>
              </w:rPr>
              <w:t>满足招标货物的所有性能及技术指标要求得26分，</w:t>
            </w:r>
            <w:r>
              <w:rPr>
                <w:rFonts w:hint="eastAsia" w:ascii="Arial" w:hAnsi="Arial" w:cs="Arial"/>
                <w:color w:val="auto"/>
              </w:rPr>
              <w:t>带“</w:t>
            </w:r>
            <w:r>
              <w:rPr>
                <w:rFonts w:hint="eastAsia" w:hAnsi="宋体" w:cs="宋体"/>
                <w:snapToGrid w:val="0"/>
                <w:color w:val="auto"/>
              </w:rPr>
              <w:t>▲”</w:t>
            </w:r>
            <w:r>
              <w:rPr>
                <w:rFonts w:hint="eastAsia" w:ascii="Arial" w:hAnsi="Arial" w:cs="Arial"/>
                <w:color w:val="auto"/>
              </w:rPr>
              <w:t>项为主要参数，不满足将按废标处理。</w:t>
            </w:r>
          </w:p>
        </w:tc>
        <w:tc>
          <w:tcPr>
            <w:tcW w:w="1134" w:type="dxa"/>
            <w:vAlign w:val="center"/>
          </w:tcPr>
          <w:p>
            <w:pPr>
              <w:pStyle w:val="15"/>
              <w:snapToGrid w:val="0"/>
              <w:spacing w:line="360" w:lineRule="auto"/>
              <w:jc w:val="center"/>
              <w:rPr>
                <w:rFonts w:asciiTheme="minorEastAsia" w:hAnsiTheme="minorEastAsia" w:eastAsiaTheme="minorEastAsia" w:cstheme="minorEastAsia"/>
                <w:snapToGrid w:val="0"/>
                <w:color w:val="auto"/>
              </w:rPr>
            </w:pPr>
            <w:r>
              <w:rPr>
                <w:rFonts w:hint="eastAsia" w:asciiTheme="minorEastAsia" w:hAnsiTheme="minorEastAsia" w:eastAsiaTheme="minorEastAsia" w:cstheme="minorEastAsia"/>
                <w:snapToGrid w:val="0"/>
                <w:color w:val="auto"/>
              </w:rPr>
              <w:t>0-26分</w:t>
            </w:r>
          </w:p>
        </w:tc>
        <w:tc>
          <w:tcPr>
            <w:tcW w:w="2918" w:type="dxa"/>
            <w:gridSpan w:val="3"/>
            <w:vAlign w:val="center"/>
          </w:tcPr>
          <w:p>
            <w:pPr>
              <w:pStyle w:val="15"/>
              <w:snapToGrid w:val="0"/>
              <w:spacing w:line="360" w:lineRule="auto"/>
              <w:jc w:val="center"/>
              <w:rPr>
                <w:rFonts w:asciiTheme="minorEastAsia" w:hAnsiTheme="minorEastAsia" w:eastAsiaTheme="minorEastAsia" w:cstheme="minorEastAsia"/>
                <w:snapToGrid w:val="0"/>
                <w:color w:val="auto"/>
              </w:rPr>
            </w:pPr>
            <w:r>
              <w:rPr>
                <w:rFonts w:hint="eastAsia" w:hAnsi="宋体" w:cs="宋体"/>
                <w:snapToGrid w:val="0"/>
                <w:color w:val="auto"/>
              </w:rPr>
              <w:t>招标内容：</w:t>
            </w:r>
            <w:r>
              <w:rPr>
                <w:rFonts w:hint="eastAsia"/>
                <w:color w:val="auto"/>
              </w:rPr>
              <w:t>主要技术参数中</w:t>
            </w:r>
            <w:r>
              <w:rPr>
                <w:rFonts w:hint="eastAsia" w:ascii="Arial" w:hAnsi="Arial" w:cs="Arial"/>
                <w:color w:val="auto"/>
              </w:rPr>
              <w:t>带“</w:t>
            </w:r>
            <w:r>
              <w:rPr>
                <w:rFonts w:hint="eastAsia" w:hAnsi="宋体" w:cs="宋体"/>
                <w:snapToGrid w:val="0"/>
                <w:color w:val="auto"/>
              </w:rPr>
              <w:t>▲”</w:t>
            </w:r>
            <w:r>
              <w:rPr>
                <w:rFonts w:hint="eastAsia" w:ascii="Arial" w:hAnsi="Arial" w:cs="Arial"/>
                <w:color w:val="auto"/>
              </w:rPr>
              <w:t>项为主要参数，不满足将按废标处理</w:t>
            </w:r>
            <w:r>
              <w:rPr>
                <w:rFonts w:hint="eastAsia" w:hAnsi="宋体" w:cs="宋体"/>
                <w:snapToGrid w:val="0"/>
                <w:color w:val="auto"/>
              </w:rPr>
              <w:t>；招标内容：</w:t>
            </w:r>
            <w:r>
              <w:rPr>
                <w:rFonts w:hint="eastAsia"/>
                <w:color w:val="auto"/>
              </w:rPr>
              <w:t>主要技术参数中</w:t>
            </w:r>
            <w:r>
              <w:rPr>
                <w:rFonts w:hint="eastAsia" w:hAnsi="宋体" w:cs="宋体"/>
                <w:snapToGrid w:val="0"/>
                <w:color w:val="auto"/>
              </w:rPr>
              <w:t>带“</w:t>
            </w:r>
            <w:r>
              <w:rPr>
                <w:rFonts w:hint="eastAsia" w:hAnsi="宋体" w:cs="宋体"/>
                <w:color w:val="auto"/>
              </w:rPr>
              <w:t>★</w:t>
            </w:r>
            <w:r>
              <w:rPr>
                <w:rFonts w:hint="eastAsia" w:hAnsi="宋体" w:cs="宋体"/>
                <w:snapToGrid w:val="0"/>
                <w:color w:val="auto"/>
              </w:rPr>
              <w:t>”的为主要招标条款，低于招标内容，每一项减</w:t>
            </w:r>
            <w:r>
              <w:rPr>
                <w:rFonts w:hAnsi="宋体" w:cs="宋体"/>
                <w:snapToGrid w:val="0"/>
                <w:color w:val="auto"/>
              </w:rPr>
              <w:t>3</w:t>
            </w:r>
            <w:r>
              <w:rPr>
                <w:rFonts w:hint="eastAsia" w:hAnsi="宋体" w:cs="宋体"/>
                <w:snapToGrid w:val="0"/>
                <w:color w:val="auto"/>
              </w:rPr>
              <w:t>分；招标内容：</w:t>
            </w:r>
            <w:r>
              <w:rPr>
                <w:rFonts w:hint="eastAsia"/>
                <w:color w:val="auto"/>
              </w:rPr>
              <w:t>主要技术参数中未</w:t>
            </w:r>
            <w:r>
              <w:rPr>
                <w:rFonts w:hint="eastAsia" w:hAnsi="宋体" w:cs="宋体"/>
                <w:snapToGrid w:val="0"/>
                <w:color w:val="auto"/>
              </w:rPr>
              <w:t>带“▲”、“</w:t>
            </w:r>
            <w:r>
              <w:rPr>
                <w:rFonts w:hint="eastAsia" w:hAnsi="宋体" w:cs="宋体"/>
                <w:color w:val="auto"/>
              </w:rPr>
              <w:t>★</w:t>
            </w:r>
            <w:r>
              <w:rPr>
                <w:rFonts w:hint="eastAsia" w:hAnsi="宋体" w:cs="宋体"/>
                <w:snapToGrid w:val="0"/>
                <w:color w:val="auto"/>
              </w:rPr>
              <w:t>”的条款，低于招标需求，每一项减</w:t>
            </w:r>
            <w:r>
              <w:rPr>
                <w:rFonts w:hAnsi="宋体" w:cs="宋体"/>
                <w:snapToGrid w:val="0"/>
                <w:color w:val="auto"/>
              </w:rPr>
              <w:t>2</w:t>
            </w:r>
            <w:r>
              <w:rPr>
                <w:rFonts w:hint="eastAsia" w:hAnsi="宋体" w:cs="宋体"/>
                <w:snapToGrid w:val="0"/>
                <w:color w:val="auto"/>
              </w:rPr>
              <w:t>分。（此项扣完为止）</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624" w:hRule="atLeast"/>
          <w:jc w:val="center"/>
        </w:trPr>
        <w:tc>
          <w:tcPr>
            <w:tcW w:w="752" w:type="dxa"/>
            <w:vMerge w:val="continue"/>
            <w:vAlign w:val="center"/>
          </w:tcPr>
          <w:p>
            <w:pPr>
              <w:adjustRightInd w:val="0"/>
              <w:snapToGrid w:val="0"/>
              <w:spacing w:line="360" w:lineRule="auto"/>
              <w:jc w:val="center"/>
              <w:rPr>
                <w:rFonts w:asciiTheme="minorEastAsia" w:hAnsiTheme="minorEastAsia" w:eastAsiaTheme="minorEastAsia" w:cstheme="minorEastAsia"/>
                <w:snapToGrid w:val="0"/>
                <w:szCs w:val="21"/>
              </w:rPr>
            </w:pPr>
          </w:p>
        </w:tc>
        <w:tc>
          <w:tcPr>
            <w:tcW w:w="1134" w:type="dxa"/>
            <w:vMerge w:val="continue"/>
            <w:vAlign w:val="center"/>
          </w:tcPr>
          <w:p>
            <w:pPr>
              <w:snapToGrid w:val="0"/>
              <w:spacing w:line="360" w:lineRule="auto"/>
              <w:jc w:val="center"/>
              <w:rPr>
                <w:rFonts w:asciiTheme="minorEastAsia" w:hAnsiTheme="minorEastAsia" w:eastAsiaTheme="minorEastAsia" w:cstheme="minorEastAsia"/>
                <w:szCs w:val="21"/>
              </w:rPr>
            </w:pPr>
          </w:p>
        </w:tc>
        <w:tc>
          <w:tcPr>
            <w:tcW w:w="3785" w:type="dxa"/>
            <w:vAlign w:val="center"/>
          </w:tcPr>
          <w:p>
            <w:pPr>
              <w:pStyle w:val="15"/>
              <w:snapToGrid w:val="0"/>
              <w:spacing w:line="360" w:lineRule="auto"/>
              <w:rPr>
                <w:rFonts w:asciiTheme="minorEastAsia" w:hAnsiTheme="minorEastAsia" w:eastAsiaTheme="minorEastAsia" w:cstheme="minorEastAsia"/>
              </w:rPr>
            </w:pPr>
            <w:r>
              <w:rPr>
                <w:rFonts w:hint="eastAsia" w:asciiTheme="minorEastAsia" w:hAnsiTheme="minorEastAsia" w:eastAsiaTheme="minorEastAsia" w:cstheme="minorEastAsia"/>
              </w:rPr>
              <w:t>根据产品的样式、配置、功能、技术性能、检验报告、质量的优劣及符合性综合情况打分</w:t>
            </w:r>
          </w:p>
        </w:tc>
        <w:tc>
          <w:tcPr>
            <w:tcW w:w="1134" w:type="dxa"/>
            <w:vAlign w:val="center"/>
          </w:tcPr>
          <w:p>
            <w:pPr>
              <w:pStyle w:val="15"/>
              <w:snapToGrid w:val="0"/>
              <w:spacing w:line="360" w:lineRule="auto"/>
              <w:jc w:val="center"/>
              <w:rPr>
                <w:rFonts w:asciiTheme="minorEastAsia" w:hAnsiTheme="minorEastAsia" w:eastAsiaTheme="minorEastAsia" w:cstheme="minorEastAsia"/>
                <w:snapToGrid w:val="0"/>
              </w:rPr>
            </w:pPr>
            <w:r>
              <w:rPr>
                <w:rFonts w:hint="eastAsia" w:asciiTheme="minorEastAsia" w:hAnsiTheme="minorEastAsia" w:eastAsiaTheme="minorEastAsia" w:cstheme="minorEastAsia"/>
                <w:snapToGrid w:val="0"/>
              </w:rPr>
              <w:t>0-8分</w:t>
            </w:r>
          </w:p>
        </w:tc>
        <w:tc>
          <w:tcPr>
            <w:tcW w:w="934" w:type="dxa"/>
            <w:vAlign w:val="center"/>
          </w:tcPr>
          <w:p>
            <w:pPr>
              <w:jc w:val="center"/>
              <w:rPr>
                <w:rFonts w:asciiTheme="minorEastAsia" w:hAnsiTheme="minorEastAsia" w:eastAsiaTheme="minorEastAsia" w:cstheme="minorEastAsia"/>
                <w:snapToGrid w:val="0"/>
                <w:szCs w:val="21"/>
              </w:rPr>
            </w:pPr>
            <w:r>
              <w:rPr>
                <w:rFonts w:hint="eastAsia" w:asciiTheme="minorEastAsia" w:hAnsiTheme="minorEastAsia" w:eastAsiaTheme="minorEastAsia" w:cstheme="minorEastAsia"/>
                <w:szCs w:val="21"/>
              </w:rPr>
              <w:t>6-8</w:t>
            </w:r>
          </w:p>
        </w:tc>
        <w:tc>
          <w:tcPr>
            <w:tcW w:w="992" w:type="dxa"/>
            <w:vAlign w:val="center"/>
          </w:tcPr>
          <w:p>
            <w:pPr>
              <w:jc w:val="center"/>
              <w:rPr>
                <w:rFonts w:asciiTheme="minorEastAsia" w:hAnsiTheme="minorEastAsia" w:eastAsiaTheme="minorEastAsia" w:cstheme="minorEastAsia"/>
                <w:snapToGrid w:val="0"/>
                <w:szCs w:val="21"/>
              </w:rPr>
            </w:pPr>
            <w:r>
              <w:rPr>
                <w:rFonts w:hint="eastAsia" w:asciiTheme="minorEastAsia" w:hAnsiTheme="minorEastAsia" w:eastAsiaTheme="minorEastAsia" w:cstheme="minorEastAsia"/>
                <w:szCs w:val="21"/>
              </w:rPr>
              <w:t>3-5</w:t>
            </w:r>
          </w:p>
        </w:tc>
        <w:tc>
          <w:tcPr>
            <w:tcW w:w="992" w:type="dxa"/>
            <w:vAlign w:val="center"/>
          </w:tcPr>
          <w:p>
            <w:pPr>
              <w:jc w:val="center"/>
              <w:rPr>
                <w:rFonts w:asciiTheme="minorEastAsia" w:hAnsiTheme="minorEastAsia" w:eastAsiaTheme="minorEastAsia" w:cstheme="minorEastAsia"/>
                <w:snapToGrid w:val="0"/>
                <w:szCs w:val="21"/>
              </w:rPr>
            </w:pPr>
            <w:r>
              <w:rPr>
                <w:rFonts w:hint="eastAsia" w:asciiTheme="minorEastAsia" w:hAnsiTheme="minorEastAsia" w:eastAsiaTheme="minorEastAsia" w:cstheme="minorEastAsia"/>
                <w:szCs w:val="21"/>
              </w:rPr>
              <w:t>0-2</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90" w:hRule="atLeast"/>
          <w:jc w:val="center"/>
        </w:trPr>
        <w:tc>
          <w:tcPr>
            <w:tcW w:w="9723" w:type="dxa"/>
            <w:gridSpan w:val="7"/>
            <w:vAlign w:val="center"/>
          </w:tcPr>
          <w:p>
            <w:pPr>
              <w:snapToGrid w:val="0"/>
              <w:spacing w:line="360" w:lineRule="auto"/>
              <w:jc w:val="left"/>
              <w:rPr>
                <w:rFonts w:asciiTheme="minorEastAsia" w:hAnsiTheme="minorEastAsia" w:eastAsiaTheme="minorEastAsia" w:cstheme="minorEastAsia"/>
                <w:snapToGrid w:val="0"/>
                <w:szCs w:val="21"/>
              </w:rPr>
            </w:pPr>
            <w:r>
              <w:rPr>
                <w:rFonts w:hint="eastAsia" w:asciiTheme="minorEastAsia" w:hAnsiTheme="minorEastAsia" w:eastAsiaTheme="minorEastAsia" w:cstheme="minorEastAsia"/>
                <w:b/>
                <w:bCs/>
                <w:szCs w:val="21"/>
              </w:rPr>
              <w:t>（二）资信部分（26分）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1371" w:hRule="atLeast"/>
          <w:jc w:val="center"/>
        </w:trPr>
        <w:tc>
          <w:tcPr>
            <w:tcW w:w="752" w:type="dxa"/>
            <w:vAlign w:val="center"/>
          </w:tcPr>
          <w:p>
            <w:pPr>
              <w:adjustRightInd w:val="0"/>
              <w:snapToGrid w:val="0"/>
              <w:spacing w:line="360" w:lineRule="auto"/>
              <w:jc w:val="center"/>
              <w:rPr>
                <w:rFonts w:asciiTheme="minorEastAsia" w:hAnsiTheme="minorEastAsia" w:eastAsiaTheme="minorEastAsia" w:cstheme="minorEastAsia"/>
                <w:snapToGrid w:val="0"/>
                <w:szCs w:val="21"/>
              </w:rPr>
            </w:pPr>
            <w:r>
              <w:rPr>
                <w:rFonts w:hint="eastAsia" w:asciiTheme="minorEastAsia" w:hAnsiTheme="minorEastAsia" w:eastAsiaTheme="minorEastAsia" w:cstheme="minorEastAsia"/>
                <w:snapToGrid w:val="0"/>
                <w:szCs w:val="21"/>
              </w:rPr>
              <w:t>2</w:t>
            </w:r>
          </w:p>
        </w:tc>
        <w:tc>
          <w:tcPr>
            <w:tcW w:w="1134" w:type="dxa"/>
            <w:vAlign w:val="center"/>
          </w:tcPr>
          <w:p>
            <w:pPr>
              <w:snapToGrid w:val="0"/>
              <w:spacing w:line="360" w:lineRule="auto"/>
              <w:jc w:val="center"/>
              <w:rPr>
                <w:rFonts w:asciiTheme="minorEastAsia" w:hAnsiTheme="minorEastAsia" w:eastAsiaTheme="minorEastAsia" w:cstheme="minorEastAsia"/>
                <w:snapToGrid w:val="0"/>
                <w:szCs w:val="21"/>
              </w:rPr>
            </w:pPr>
            <w:r>
              <w:rPr>
                <w:rFonts w:hint="eastAsia" w:asciiTheme="minorEastAsia" w:hAnsiTheme="minorEastAsia" w:eastAsiaTheme="minorEastAsia" w:cstheme="minorEastAsia"/>
                <w:szCs w:val="21"/>
              </w:rPr>
              <w:t>生产企业综合实力</w:t>
            </w:r>
          </w:p>
        </w:tc>
        <w:tc>
          <w:tcPr>
            <w:tcW w:w="3785" w:type="dxa"/>
            <w:vAlign w:val="center"/>
          </w:tcPr>
          <w:p>
            <w:pPr>
              <w:pStyle w:val="15"/>
              <w:snapToGrid w:val="0"/>
              <w:spacing w:line="360" w:lineRule="auto"/>
              <w:rPr>
                <w:rFonts w:asciiTheme="minorEastAsia" w:hAnsiTheme="minorEastAsia" w:eastAsiaTheme="minorEastAsia" w:cstheme="minorEastAsia"/>
              </w:rPr>
            </w:pPr>
            <w:r>
              <w:rPr>
                <w:rFonts w:hint="eastAsia" w:asciiTheme="minorEastAsia" w:hAnsiTheme="minorEastAsia" w:eastAsiaTheme="minorEastAsia" w:cstheme="minorEastAsia"/>
              </w:rPr>
              <w:t>具备有效期内的ISO9001质量保证体系认证、ISO14001环境管理体系认证、OHSAS18001职业健康安全管理体系认。</w:t>
            </w:r>
          </w:p>
        </w:tc>
        <w:tc>
          <w:tcPr>
            <w:tcW w:w="1134" w:type="dxa"/>
            <w:vAlign w:val="center"/>
          </w:tcPr>
          <w:p>
            <w:pPr>
              <w:snapToGrid w:val="0"/>
              <w:spacing w:line="360" w:lineRule="auto"/>
              <w:jc w:val="center"/>
              <w:rPr>
                <w:rFonts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color w:val="auto"/>
                <w:szCs w:val="21"/>
              </w:rPr>
              <w:t>0-6分</w:t>
            </w:r>
          </w:p>
        </w:tc>
        <w:tc>
          <w:tcPr>
            <w:tcW w:w="2918" w:type="dxa"/>
            <w:gridSpan w:val="3"/>
            <w:vAlign w:val="center"/>
          </w:tcPr>
          <w:p>
            <w:pPr>
              <w:snapToGrid w:val="0"/>
              <w:spacing w:line="360" w:lineRule="auto"/>
              <w:jc w:val="left"/>
              <w:rPr>
                <w:rFonts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color w:val="auto"/>
                <w:szCs w:val="21"/>
              </w:rPr>
              <w:t>每缺一项扣</w:t>
            </w:r>
            <w:r>
              <w:rPr>
                <w:rFonts w:hint="eastAsia" w:asciiTheme="minorEastAsia" w:hAnsiTheme="minorEastAsia" w:eastAsiaTheme="minorEastAsia" w:cstheme="minorEastAsia"/>
                <w:color w:val="auto"/>
                <w:szCs w:val="21"/>
                <w:lang w:val="en-US" w:eastAsia="zh-CN"/>
              </w:rPr>
              <w:t>2</w:t>
            </w:r>
            <w:r>
              <w:rPr>
                <w:rFonts w:hint="eastAsia" w:asciiTheme="minorEastAsia" w:hAnsiTheme="minorEastAsia" w:eastAsiaTheme="minorEastAsia" w:cstheme="minorEastAsia"/>
                <w:color w:val="auto"/>
                <w:szCs w:val="21"/>
              </w:rPr>
              <w:t>分，扣完6分为止；需提供证书复印件，加盖公章，否则不得分。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1271" w:hRule="atLeast"/>
          <w:jc w:val="center"/>
        </w:trPr>
        <w:tc>
          <w:tcPr>
            <w:tcW w:w="752" w:type="dxa"/>
            <w:vAlign w:val="center"/>
          </w:tcPr>
          <w:p>
            <w:pPr>
              <w:adjustRightInd w:val="0"/>
              <w:snapToGrid w:val="0"/>
              <w:spacing w:line="360" w:lineRule="auto"/>
              <w:jc w:val="center"/>
              <w:rPr>
                <w:rFonts w:asciiTheme="minorEastAsia" w:hAnsiTheme="minorEastAsia" w:eastAsiaTheme="minorEastAsia" w:cstheme="minorEastAsia"/>
                <w:snapToGrid w:val="0"/>
                <w:szCs w:val="21"/>
              </w:rPr>
            </w:pPr>
            <w:r>
              <w:rPr>
                <w:rFonts w:hint="eastAsia" w:asciiTheme="minorEastAsia" w:hAnsiTheme="minorEastAsia" w:eastAsiaTheme="minorEastAsia" w:cstheme="minorEastAsia"/>
                <w:snapToGrid w:val="0"/>
                <w:szCs w:val="21"/>
              </w:rPr>
              <w:t>3</w:t>
            </w:r>
          </w:p>
        </w:tc>
        <w:tc>
          <w:tcPr>
            <w:tcW w:w="1134" w:type="dxa"/>
            <w:vAlign w:val="center"/>
          </w:tcPr>
          <w:p>
            <w:pPr>
              <w:adjustRightInd w:val="0"/>
              <w:snapToGrid w:val="0"/>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生产企业</w:t>
            </w:r>
            <w:r>
              <w:rPr>
                <w:rFonts w:hint="eastAsia" w:asciiTheme="minorEastAsia" w:hAnsiTheme="minorEastAsia" w:eastAsiaTheme="minorEastAsia" w:cstheme="minorEastAsia"/>
                <w:snapToGrid w:val="0"/>
                <w:szCs w:val="21"/>
              </w:rPr>
              <w:t>业绩情况</w:t>
            </w:r>
          </w:p>
        </w:tc>
        <w:tc>
          <w:tcPr>
            <w:tcW w:w="3785" w:type="dxa"/>
            <w:vAlign w:val="center"/>
          </w:tcPr>
          <w:p>
            <w:pPr>
              <w:pStyle w:val="15"/>
              <w:snapToGrid w:val="0"/>
              <w:spacing w:line="360" w:lineRule="auto"/>
              <w:rPr>
                <w:rFonts w:asciiTheme="minorEastAsia" w:hAnsiTheme="minorEastAsia" w:eastAsiaTheme="minorEastAsia" w:cstheme="minorEastAsia"/>
              </w:rPr>
            </w:pPr>
            <w:r>
              <w:rPr>
                <w:rFonts w:hint="eastAsia" w:asciiTheme="minorEastAsia" w:hAnsiTheme="minorEastAsia" w:eastAsiaTheme="minorEastAsia" w:cstheme="minorEastAsia"/>
                <w:kern w:val="2"/>
              </w:rPr>
              <w:t>成功案例及业绩（4分），投标人2017年1月1日以来同类项目业绩，（提供合同复印件或中标通知书，并加盖投标供应商公章，否则不得分），每个业绩得1分</w:t>
            </w:r>
          </w:p>
        </w:tc>
        <w:tc>
          <w:tcPr>
            <w:tcW w:w="1134" w:type="dxa"/>
            <w:vAlign w:val="center"/>
          </w:tcPr>
          <w:p>
            <w:pPr>
              <w:adjustRightInd w:val="0"/>
              <w:snapToGrid w:val="0"/>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napToGrid w:val="0"/>
                <w:szCs w:val="21"/>
              </w:rPr>
              <w:t>0-4分</w:t>
            </w:r>
          </w:p>
        </w:tc>
        <w:tc>
          <w:tcPr>
            <w:tcW w:w="2918" w:type="dxa"/>
            <w:gridSpan w:val="3"/>
            <w:vAlign w:val="center"/>
          </w:tcPr>
          <w:p>
            <w:pPr>
              <w:adjustRightInd w:val="0"/>
              <w:snapToGrid w:val="0"/>
              <w:spacing w:line="360" w:lineRule="auto"/>
              <w:jc w:val="left"/>
              <w:rPr>
                <w:rFonts w:asciiTheme="minorEastAsia" w:hAnsiTheme="minorEastAsia" w:eastAsiaTheme="minorEastAsia" w:cstheme="minorEastAsia"/>
                <w:snapToGrid w:val="0"/>
                <w:szCs w:val="21"/>
              </w:rPr>
            </w:pPr>
            <w:r>
              <w:rPr>
                <w:rFonts w:hint="eastAsia" w:asciiTheme="minorEastAsia" w:hAnsiTheme="minorEastAsia" w:eastAsiaTheme="minorEastAsia" w:cstheme="minorEastAsia"/>
                <w:szCs w:val="21"/>
              </w:rPr>
              <w:t>每个业绩得1分，满分4分。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715" w:hRule="atLeast"/>
          <w:jc w:val="center"/>
        </w:trPr>
        <w:tc>
          <w:tcPr>
            <w:tcW w:w="752" w:type="dxa"/>
            <w:vAlign w:val="center"/>
          </w:tcPr>
          <w:p>
            <w:pPr>
              <w:adjustRightInd w:val="0"/>
              <w:snapToGrid w:val="0"/>
              <w:spacing w:line="360" w:lineRule="auto"/>
              <w:jc w:val="center"/>
              <w:rPr>
                <w:rFonts w:asciiTheme="minorEastAsia" w:hAnsiTheme="minorEastAsia" w:eastAsiaTheme="minorEastAsia" w:cstheme="minorEastAsia"/>
                <w:snapToGrid w:val="0"/>
                <w:szCs w:val="21"/>
              </w:rPr>
            </w:pPr>
            <w:r>
              <w:rPr>
                <w:rFonts w:hint="eastAsia" w:asciiTheme="minorEastAsia" w:hAnsiTheme="minorEastAsia" w:eastAsiaTheme="minorEastAsia" w:cstheme="minorEastAsia"/>
                <w:snapToGrid w:val="0"/>
                <w:szCs w:val="21"/>
              </w:rPr>
              <w:t>4</w:t>
            </w:r>
          </w:p>
        </w:tc>
        <w:tc>
          <w:tcPr>
            <w:tcW w:w="1134" w:type="dxa"/>
            <w:vAlign w:val="center"/>
          </w:tcPr>
          <w:p>
            <w:pPr>
              <w:spacing w:line="360" w:lineRule="auto"/>
              <w:jc w:val="center"/>
              <w:rPr>
                <w:rFonts w:asciiTheme="minorEastAsia" w:hAnsiTheme="minorEastAsia" w:eastAsiaTheme="minorEastAsia" w:cstheme="minorEastAsia"/>
                <w:snapToGrid w:val="0"/>
                <w:szCs w:val="21"/>
              </w:rPr>
            </w:pPr>
            <w:r>
              <w:rPr>
                <w:rFonts w:hint="eastAsia" w:asciiTheme="minorEastAsia" w:hAnsiTheme="minorEastAsia" w:eastAsiaTheme="minorEastAsia" w:cstheme="minorEastAsia"/>
                <w:szCs w:val="21"/>
              </w:rPr>
              <w:t>生产企业产品质量与制造工艺</w:t>
            </w:r>
          </w:p>
        </w:tc>
        <w:tc>
          <w:tcPr>
            <w:tcW w:w="3785" w:type="dxa"/>
            <w:vAlign w:val="center"/>
          </w:tcPr>
          <w:p>
            <w:pPr>
              <w:spacing w:line="360" w:lineRule="auto"/>
              <w:jc w:val="left"/>
              <w:rPr>
                <w:rFonts w:asciiTheme="minorEastAsia" w:hAnsiTheme="minorEastAsia" w:eastAsiaTheme="minorEastAsia" w:cstheme="minorEastAsia"/>
                <w:snapToGrid w:val="0"/>
                <w:szCs w:val="21"/>
              </w:rPr>
            </w:pPr>
            <w:r>
              <w:rPr>
                <w:rFonts w:hint="eastAsia" w:asciiTheme="minorEastAsia" w:hAnsiTheme="minorEastAsia" w:eastAsiaTheme="minorEastAsia" w:cstheme="minorEastAsia"/>
                <w:szCs w:val="21"/>
              </w:rPr>
              <w:t>综合比较投标人所投产品的质量和制造工艺，包含但不仅限于所投产品的总体质量、适用性、制造水平、质检设备情况等。综合比较，分档给分。</w:t>
            </w:r>
          </w:p>
        </w:tc>
        <w:tc>
          <w:tcPr>
            <w:tcW w:w="1134" w:type="dxa"/>
            <w:vAlign w:val="center"/>
          </w:tcPr>
          <w:p>
            <w:pPr>
              <w:spacing w:line="360" w:lineRule="auto"/>
              <w:jc w:val="center"/>
              <w:rPr>
                <w:rFonts w:asciiTheme="minorEastAsia" w:hAnsiTheme="minorEastAsia" w:eastAsiaTheme="minorEastAsia" w:cstheme="minorEastAsia"/>
                <w:snapToGrid w:val="0"/>
                <w:szCs w:val="21"/>
              </w:rPr>
            </w:pPr>
            <w:r>
              <w:rPr>
                <w:rFonts w:hint="eastAsia" w:asciiTheme="minorEastAsia" w:hAnsiTheme="minorEastAsia" w:eastAsiaTheme="minorEastAsia" w:cstheme="minorEastAsia"/>
                <w:szCs w:val="21"/>
              </w:rPr>
              <w:t>0-4分</w:t>
            </w:r>
          </w:p>
        </w:tc>
        <w:tc>
          <w:tcPr>
            <w:tcW w:w="934" w:type="dxa"/>
            <w:vAlign w:val="center"/>
          </w:tcPr>
          <w:p>
            <w:pPr>
              <w:pStyle w:val="15"/>
              <w:snapToGrid w:val="0"/>
              <w:spacing w:line="360" w:lineRule="auto"/>
              <w:jc w:val="center"/>
              <w:rPr>
                <w:rFonts w:asciiTheme="minorEastAsia" w:hAnsiTheme="minorEastAsia" w:eastAsiaTheme="minorEastAsia" w:cstheme="minorEastAsia"/>
              </w:rPr>
            </w:pPr>
            <w:r>
              <w:rPr>
                <w:rFonts w:hint="eastAsia" w:asciiTheme="minorEastAsia" w:hAnsiTheme="minorEastAsia" w:eastAsiaTheme="minorEastAsia" w:cstheme="minorEastAsia"/>
              </w:rPr>
              <w:t>3-4</w:t>
            </w:r>
          </w:p>
        </w:tc>
        <w:tc>
          <w:tcPr>
            <w:tcW w:w="992" w:type="dxa"/>
            <w:vAlign w:val="center"/>
          </w:tcPr>
          <w:p>
            <w:pPr>
              <w:pStyle w:val="15"/>
              <w:snapToGrid w:val="0"/>
              <w:spacing w:line="360" w:lineRule="auto"/>
              <w:jc w:val="center"/>
              <w:rPr>
                <w:rFonts w:asciiTheme="minorEastAsia" w:hAnsiTheme="minorEastAsia" w:eastAsiaTheme="minorEastAsia" w:cstheme="minorEastAsia"/>
              </w:rPr>
            </w:pPr>
            <w:r>
              <w:rPr>
                <w:rFonts w:hint="eastAsia" w:asciiTheme="minorEastAsia" w:hAnsiTheme="minorEastAsia" w:eastAsiaTheme="minorEastAsia" w:cstheme="minorEastAsia"/>
              </w:rPr>
              <w:t>2-3</w:t>
            </w:r>
          </w:p>
        </w:tc>
        <w:tc>
          <w:tcPr>
            <w:tcW w:w="992" w:type="dxa"/>
            <w:vAlign w:val="center"/>
          </w:tcPr>
          <w:p>
            <w:pPr>
              <w:pStyle w:val="15"/>
              <w:snapToGrid w:val="0"/>
              <w:spacing w:line="360" w:lineRule="auto"/>
              <w:jc w:val="center"/>
              <w:rPr>
                <w:rFonts w:asciiTheme="minorEastAsia" w:hAnsiTheme="minorEastAsia" w:eastAsiaTheme="minorEastAsia" w:cstheme="minorEastAsia"/>
              </w:rPr>
            </w:pPr>
            <w:r>
              <w:rPr>
                <w:rFonts w:hint="eastAsia" w:asciiTheme="minorEastAsia" w:hAnsiTheme="minorEastAsia" w:eastAsiaTheme="minorEastAsia" w:cstheme="minorEastAsia"/>
              </w:rPr>
              <w:t>0-2</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563" w:hRule="atLeast"/>
          <w:jc w:val="center"/>
        </w:trPr>
        <w:tc>
          <w:tcPr>
            <w:tcW w:w="752" w:type="dxa"/>
            <w:vMerge w:val="restart"/>
            <w:vAlign w:val="center"/>
          </w:tcPr>
          <w:p>
            <w:pPr>
              <w:adjustRightInd w:val="0"/>
              <w:snapToGrid w:val="0"/>
              <w:spacing w:line="360" w:lineRule="auto"/>
              <w:jc w:val="center"/>
              <w:rPr>
                <w:rFonts w:asciiTheme="minorEastAsia" w:hAnsiTheme="minorEastAsia" w:eastAsiaTheme="minorEastAsia" w:cstheme="minorEastAsia"/>
                <w:snapToGrid w:val="0"/>
                <w:szCs w:val="21"/>
              </w:rPr>
            </w:pPr>
            <w:r>
              <w:rPr>
                <w:rFonts w:hint="eastAsia" w:asciiTheme="minorEastAsia" w:hAnsiTheme="minorEastAsia" w:eastAsiaTheme="minorEastAsia" w:cstheme="minorEastAsia"/>
                <w:snapToGrid w:val="0"/>
                <w:szCs w:val="21"/>
              </w:rPr>
              <w:t>5</w:t>
            </w:r>
          </w:p>
        </w:tc>
        <w:tc>
          <w:tcPr>
            <w:tcW w:w="1134" w:type="dxa"/>
            <w:vMerge w:val="restart"/>
            <w:vAlign w:val="center"/>
          </w:tcPr>
          <w:p>
            <w:pPr>
              <w:adjustRightInd w:val="0"/>
              <w:snapToGrid w:val="0"/>
              <w:spacing w:line="360" w:lineRule="auto"/>
              <w:jc w:val="center"/>
              <w:rPr>
                <w:rFonts w:asciiTheme="minorEastAsia" w:hAnsiTheme="minorEastAsia" w:eastAsiaTheme="minorEastAsia" w:cstheme="minorEastAsia"/>
                <w:snapToGrid w:val="0"/>
                <w:szCs w:val="21"/>
              </w:rPr>
            </w:pPr>
            <w:r>
              <w:rPr>
                <w:rFonts w:hint="eastAsia" w:asciiTheme="minorEastAsia" w:hAnsiTheme="minorEastAsia" w:eastAsiaTheme="minorEastAsia" w:cstheme="minorEastAsia"/>
                <w:szCs w:val="21"/>
              </w:rPr>
              <w:t>生产企业售后服务</w:t>
            </w:r>
          </w:p>
        </w:tc>
        <w:tc>
          <w:tcPr>
            <w:tcW w:w="3785" w:type="dxa"/>
            <w:vAlign w:val="center"/>
          </w:tcPr>
          <w:p>
            <w:pPr>
              <w:widowControl/>
              <w:spacing w:line="360" w:lineRule="auto"/>
              <w:rPr>
                <w:rFonts w:asciiTheme="minorEastAsia" w:hAnsiTheme="minorEastAsia" w:eastAsiaTheme="minorEastAsia" w:cstheme="minorEastAsia"/>
                <w:szCs w:val="21"/>
              </w:rPr>
            </w:pPr>
            <w:r>
              <w:rPr>
                <w:rFonts w:hint="eastAsia" w:cs="宋体" w:asciiTheme="minorEastAsia" w:hAnsiTheme="minorEastAsia" w:eastAsiaTheme="minorEastAsia"/>
                <w:szCs w:val="21"/>
              </w:rPr>
              <w:t>售后服务承诺、服务力量和售后服务机构距离本项目实施地的远近情况；温州市有售后服务网点的得4分，浙江省内具有服务网点的得2分，浙江省外的得1分。（提供人员配备情况表、售后服务车辆及配件仓库资料，售后服务机构等材料）</w:t>
            </w:r>
          </w:p>
        </w:tc>
        <w:tc>
          <w:tcPr>
            <w:tcW w:w="1134" w:type="dxa"/>
            <w:vAlign w:val="center"/>
          </w:tcPr>
          <w:p>
            <w:pPr>
              <w:adjustRightInd w:val="0"/>
              <w:snapToGrid w:val="0"/>
              <w:spacing w:line="360" w:lineRule="auto"/>
              <w:jc w:val="center"/>
              <w:rPr>
                <w:rFonts w:asciiTheme="minorEastAsia" w:hAnsiTheme="minorEastAsia" w:eastAsiaTheme="minorEastAsia" w:cstheme="minorEastAsia"/>
                <w:snapToGrid w:val="0"/>
                <w:szCs w:val="21"/>
              </w:rPr>
            </w:pPr>
            <w:r>
              <w:rPr>
                <w:rFonts w:hint="eastAsia" w:asciiTheme="minorEastAsia" w:hAnsiTheme="minorEastAsia" w:eastAsiaTheme="minorEastAsia" w:cstheme="minorEastAsia"/>
                <w:snapToGrid w:val="0"/>
                <w:szCs w:val="21"/>
              </w:rPr>
              <w:t>0-4分</w:t>
            </w:r>
          </w:p>
        </w:tc>
        <w:tc>
          <w:tcPr>
            <w:tcW w:w="934" w:type="dxa"/>
            <w:vAlign w:val="center"/>
          </w:tcPr>
          <w:p>
            <w:pPr>
              <w:adjustRightInd w:val="0"/>
              <w:snapToGrid w:val="0"/>
              <w:spacing w:line="360" w:lineRule="auto"/>
              <w:jc w:val="center"/>
              <w:rPr>
                <w:rFonts w:asciiTheme="minorEastAsia" w:hAnsiTheme="minorEastAsia" w:eastAsiaTheme="minorEastAsia" w:cstheme="minorEastAsia"/>
                <w:snapToGrid w:val="0"/>
                <w:szCs w:val="21"/>
              </w:rPr>
            </w:pPr>
            <w:r>
              <w:rPr>
                <w:rFonts w:hint="eastAsia" w:asciiTheme="minorEastAsia" w:hAnsiTheme="minorEastAsia" w:eastAsiaTheme="minorEastAsia" w:cstheme="minorEastAsia"/>
                <w:snapToGrid w:val="0"/>
                <w:szCs w:val="21"/>
              </w:rPr>
              <w:t>4</w:t>
            </w:r>
          </w:p>
        </w:tc>
        <w:tc>
          <w:tcPr>
            <w:tcW w:w="992" w:type="dxa"/>
            <w:vAlign w:val="center"/>
          </w:tcPr>
          <w:p>
            <w:pPr>
              <w:adjustRightInd w:val="0"/>
              <w:snapToGrid w:val="0"/>
              <w:spacing w:line="360" w:lineRule="auto"/>
              <w:jc w:val="center"/>
              <w:rPr>
                <w:rFonts w:asciiTheme="minorEastAsia" w:hAnsiTheme="minorEastAsia" w:eastAsiaTheme="minorEastAsia" w:cstheme="minorEastAsia"/>
                <w:snapToGrid w:val="0"/>
                <w:szCs w:val="21"/>
              </w:rPr>
            </w:pPr>
            <w:r>
              <w:rPr>
                <w:rFonts w:hint="eastAsia" w:asciiTheme="minorEastAsia" w:hAnsiTheme="minorEastAsia" w:eastAsiaTheme="minorEastAsia" w:cstheme="minorEastAsia"/>
                <w:snapToGrid w:val="0"/>
                <w:szCs w:val="21"/>
              </w:rPr>
              <w:t>2</w:t>
            </w:r>
          </w:p>
        </w:tc>
        <w:tc>
          <w:tcPr>
            <w:tcW w:w="992" w:type="dxa"/>
            <w:vAlign w:val="center"/>
          </w:tcPr>
          <w:p>
            <w:pPr>
              <w:adjustRightInd w:val="0"/>
              <w:snapToGrid w:val="0"/>
              <w:spacing w:line="360" w:lineRule="auto"/>
              <w:jc w:val="center"/>
              <w:rPr>
                <w:rFonts w:asciiTheme="minorEastAsia" w:hAnsiTheme="minorEastAsia" w:eastAsiaTheme="minorEastAsia" w:cstheme="minorEastAsia"/>
                <w:snapToGrid w:val="0"/>
                <w:szCs w:val="21"/>
              </w:rPr>
            </w:pPr>
            <w:r>
              <w:rPr>
                <w:rFonts w:hint="eastAsia" w:asciiTheme="minorEastAsia" w:hAnsiTheme="minorEastAsia" w:eastAsiaTheme="minorEastAsia" w:cstheme="minorEastAsia"/>
                <w:snapToGrid w:val="0"/>
                <w:szCs w:val="21"/>
              </w:rPr>
              <w:t>1</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692" w:hRule="atLeast"/>
          <w:jc w:val="center"/>
        </w:trPr>
        <w:tc>
          <w:tcPr>
            <w:tcW w:w="752" w:type="dxa"/>
            <w:vMerge w:val="continue"/>
            <w:vAlign w:val="center"/>
          </w:tcPr>
          <w:p>
            <w:pPr>
              <w:adjustRightInd w:val="0"/>
              <w:snapToGrid w:val="0"/>
              <w:spacing w:line="360" w:lineRule="auto"/>
              <w:jc w:val="center"/>
              <w:rPr>
                <w:rFonts w:asciiTheme="minorEastAsia" w:hAnsiTheme="minorEastAsia" w:eastAsiaTheme="minorEastAsia" w:cstheme="minorEastAsia"/>
                <w:snapToGrid w:val="0"/>
                <w:szCs w:val="21"/>
              </w:rPr>
            </w:pPr>
          </w:p>
        </w:tc>
        <w:tc>
          <w:tcPr>
            <w:tcW w:w="1134" w:type="dxa"/>
            <w:vMerge w:val="continue"/>
            <w:vAlign w:val="center"/>
          </w:tcPr>
          <w:p>
            <w:pPr>
              <w:adjustRightInd w:val="0"/>
              <w:snapToGrid w:val="0"/>
              <w:spacing w:line="360" w:lineRule="auto"/>
              <w:jc w:val="center"/>
              <w:rPr>
                <w:rFonts w:asciiTheme="minorEastAsia" w:hAnsiTheme="minorEastAsia" w:eastAsiaTheme="minorEastAsia" w:cstheme="minorEastAsia"/>
                <w:szCs w:val="21"/>
              </w:rPr>
            </w:pPr>
          </w:p>
        </w:tc>
        <w:tc>
          <w:tcPr>
            <w:tcW w:w="3785" w:type="dxa"/>
            <w:vAlign w:val="center"/>
          </w:tcPr>
          <w:p>
            <w:pPr>
              <w:spacing w:line="360" w:lineRule="auto"/>
              <w:rPr>
                <w:rFonts w:asciiTheme="minorEastAsia" w:hAnsiTheme="minorEastAsia" w:eastAsiaTheme="minorEastAsia" w:cstheme="minorEastAsia"/>
                <w:color w:val="C00000"/>
                <w:szCs w:val="21"/>
              </w:rPr>
            </w:pPr>
            <w:r>
              <w:rPr>
                <w:rFonts w:hint="eastAsia" w:cs="宋体" w:asciiTheme="minorEastAsia" w:hAnsiTheme="minorEastAsia" w:eastAsiaTheme="minorEastAsia"/>
                <w:szCs w:val="21"/>
              </w:rPr>
              <w:t>质保期内的售后保养、维护和培训计划；</w:t>
            </w:r>
          </w:p>
        </w:tc>
        <w:tc>
          <w:tcPr>
            <w:tcW w:w="1134" w:type="dxa"/>
            <w:vAlign w:val="center"/>
          </w:tcPr>
          <w:p>
            <w:pPr>
              <w:adjustRightInd w:val="0"/>
              <w:snapToGrid w:val="0"/>
              <w:spacing w:line="360" w:lineRule="auto"/>
              <w:jc w:val="center"/>
              <w:rPr>
                <w:rFonts w:asciiTheme="minorEastAsia" w:hAnsiTheme="minorEastAsia" w:eastAsiaTheme="minorEastAsia" w:cstheme="minorEastAsia"/>
                <w:snapToGrid w:val="0"/>
                <w:szCs w:val="21"/>
              </w:rPr>
            </w:pPr>
            <w:r>
              <w:rPr>
                <w:rFonts w:hint="eastAsia" w:asciiTheme="minorEastAsia" w:hAnsiTheme="minorEastAsia" w:eastAsiaTheme="minorEastAsia" w:cstheme="minorEastAsia"/>
                <w:snapToGrid w:val="0"/>
                <w:szCs w:val="21"/>
              </w:rPr>
              <w:t>0-5分</w:t>
            </w:r>
          </w:p>
        </w:tc>
        <w:tc>
          <w:tcPr>
            <w:tcW w:w="934" w:type="dxa"/>
            <w:vAlign w:val="center"/>
          </w:tcPr>
          <w:p>
            <w:pPr>
              <w:jc w:val="center"/>
              <w:rPr>
                <w:rFonts w:asciiTheme="minorEastAsia" w:hAnsiTheme="minorEastAsia" w:eastAsiaTheme="minorEastAsia" w:cstheme="minorEastAsia"/>
                <w:snapToGrid w:val="0"/>
                <w:szCs w:val="21"/>
              </w:rPr>
            </w:pPr>
            <w:r>
              <w:rPr>
                <w:rFonts w:hint="eastAsia" w:cs="Arial" w:asciiTheme="minorEastAsia" w:hAnsiTheme="minorEastAsia" w:eastAsiaTheme="minorEastAsia"/>
                <w:szCs w:val="21"/>
              </w:rPr>
              <w:t>5-3</w:t>
            </w:r>
          </w:p>
        </w:tc>
        <w:tc>
          <w:tcPr>
            <w:tcW w:w="992" w:type="dxa"/>
            <w:vAlign w:val="center"/>
          </w:tcPr>
          <w:p>
            <w:pPr>
              <w:jc w:val="center"/>
              <w:rPr>
                <w:rFonts w:asciiTheme="minorEastAsia" w:hAnsiTheme="minorEastAsia" w:eastAsiaTheme="minorEastAsia" w:cstheme="minorEastAsia"/>
                <w:snapToGrid w:val="0"/>
                <w:szCs w:val="21"/>
              </w:rPr>
            </w:pPr>
            <w:r>
              <w:rPr>
                <w:rFonts w:hint="eastAsia" w:cs="Arial" w:asciiTheme="minorEastAsia" w:hAnsiTheme="minorEastAsia" w:eastAsiaTheme="minorEastAsia"/>
                <w:szCs w:val="21"/>
              </w:rPr>
              <w:t>2.9-1.5</w:t>
            </w:r>
          </w:p>
        </w:tc>
        <w:tc>
          <w:tcPr>
            <w:tcW w:w="992" w:type="dxa"/>
            <w:vAlign w:val="center"/>
          </w:tcPr>
          <w:p>
            <w:pPr>
              <w:jc w:val="center"/>
              <w:rPr>
                <w:rFonts w:asciiTheme="minorEastAsia" w:hAnsiTheme="minorEastAsia" w:eastAsiaTheme="minorEastAsia" w:cstheme="minorEastAsia"/>
                <w:snapToGrid w:val="0"/>
                <w:szCs w:val="21"/>
              </w:rPr>
            </w:pPr>
            <w:r>
              <w:rPr>
                <w:rFonts w:hint="eastAsia" w:cs="Arial" w:asciiTheme="minorEastAsia" w:hAnsiTheme="minorEastAsia" w:eastAsiaTheme="minorEastAsia"/>
                <w:szCs w:val="21"/>
              </w:rPr>
              <w:t>1.4-0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624" w:hRule="atLeast"/>
          <w:jc w:val="center"/>
        </w:trPr>
        <w:tc>
          <w:tcPr>
            <w:tcW w:w="752" w:type="dxa"/>
            <w:vAlign w:val="center"/>
          </w:tcPr>
          <w:p>
            <w:pPr>
              <w:adjustRightInd w:val="0"/>
              <w:snapToGrid w:val="0"/>
              <w:spacing w:line="360" w:lineRule="auto"/>
              <w:jc w:val="center"/>
              <w:rPr>
                <w:rFonts w:asciiTheme="minorEastAsia" w:hAnsiTheme="minorEastAsia" w:eastAsiaTheme="minorEastAsia" w:cstheme="minorEastAsia"/>
                <w:snapToGrid w:val="0"/>
                <w:szCs w:val="21"/>
              </w:rPr>
            </w:pPr>
            <w:r>
              <w:rPr>
                <w:rFonts w:hint="eastAsia" w:asciiTheme="minorEastAsia" w:hAnsiTheme="minorEastAsia" w:eastAsiaTheme="minorEastAsia" w:cstheme="minorEastAsia"/>
                <w:snapToGrid w:val="0"/>
                <w:szCs w:val="21"/>
              </w:rPr>
              <w:t>6</w:t>
            </w:r>
          </w:p>
        </w:tc>
        <w:tc>
          <w:tcPr>
            <w:tcW w:w="1134" w:type="dxa"/>
            <w:vAlign w:val="center"/>
          </w:tcPr>
          <w:p>
            <w:pPr>
              <w:spacing w:line="360" w:lineRule="auto"/>
              <w:jc w:val="center"/>
              <w:rPr>
                <w:rFonts w:asciiTheme="minorEastAsia" w:hAnsiTheme="minorEastAsia" w:eastAsiaTheme="minorEastAsia" w:cstheme="minorEastAsia"/>
                <w:snapToGrid w:val="0"/>
                <w:szCs w:val="21"/>
              </w:rPr>
            </w:pPr>
            <w:r>
              <w:rPr>
                <w:rFonts w:hint="eastAsia" w:asciiTheme="minorEastAsia" w:hAnsiTheme="minorEastAsia" w:eastAsiaTheme="minorEastAsia" w:cstheme="minorEastAsia"/>
                <w:szCs w:val="21"/>
              </w:rPr>
              <w:t>质保期外的服务方案及收费情况</w:t>
            </w:r>
          </w:p>
        </w:tc>
        <w:tc>
          <w:tcPr>
            <w:tcW w:w="3785" w:type="dxa"/>
            <w:vAlign w:val="center"/>
          </w:tcPr>
          <w:p>
            <w:pPr>
              <w:spacing w:line="360" w:lineRule="auto"/>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根据质保期外的服务方案详细程度及零部件、易损件、工时、维修收费详细情况，综合比较。</w:t>
            </w:r>
          </w:p>
        </w:tc>
        <w:tc>
          <w:tcPr>
            <w:tcW w:w="1134" w:type="dxa"/>
            <w:vAlign w:val="center"/>
          </w:tcPr>
          <w:p>
            <w:pPr>
              <w:spacing w:line="360" w:lineRule="auto"/>
              <w:jc w:val="center"/>
              <w:rPr>
                <w:rFonts w:asciiTheme="minorEastAsia" w:hAnsiTheme="minorEastAsia" w:eastAsiaTheme="minorEastAsia" w:cstheme="minorEastAsia"/>
                <w:snapToGrid w:val="0"/>
                <w:szCs w:val="21"/>
              </w:rPr>
            </w:pPr>
            <w:r>
              <w:rPr>
                <w:rFonts w:hint="eastAsia" w:asciiTheme="minorEastAsia" w:hAnsiTheme="minorEastAsia" w:eastAsiaTheme="minorEastAsia" w:cstheme="minorEastAsia"/>
                <w:szCs w:val="21"/>
              </w:rPr>
              <w:t>0-3分</w:t>
            </w:r>
          </w:p>
        </w:tc>
        <w:tc>
          <w:tcPr>
            <w:tcW w:w="934" w:type="dxa"/>
            <w:vAlign w:val="center"/>
          </w:tcPr>
          <w:p>
            <w:pPr>
              <w:jc w:val="center"/>
              <w:rPr>
                <w:rFonts w:asciiTheme="minorEastAsia" w:hAnsiTheme="minorEastAsia" w:eastAsiaTheme="minorEastAsia" w:cstheme="minorEastAsia"/>
                <w:szCs w:val="21"/>
              </w:rPr>
            </w:pPr>
            <w:r>
              <w:rPr>
                <w:rFonts w:hint="eastAsia" w:cs="Arial" w:asciiTheme="minorEastAsia" w:hAnsiTheme="minorEastAsia" w:eastAsiaTheme="minorEastAsia"/>
                <w:szCs w:val="21"/>
              </w:rPr>
              <w:t>3-2.1</w:t>
            </w:r>
          </w:p>
        </w:tc>
        <w:tc>
          <w:tcPr>
            <w:tcW w:w="992" w:type="dxa"/>
            <w:vAlign w:val="center"/>
          </w:tcPr>
          <w:p>
            <w:pPr>
              <w:jc w:val="center"/>
              <w:rPr>
                <w:rFonts w:asciiTheme="minorEastAsia" w:hAnsiTheme="minorEastAsia" w:eastAsiaTheme="minorEastAsia" w:cstheme="minorEastAsia"/>
                <w:szCs w:val="21"/>
              </w:rPr>
            </w:pPr>
            <w:r>
              <w:rPr>
                <w:rFonts w:hint="eastAsia" w:cs="Arial" w:asciiTheme="minorEastAsia" w:hAnsiTheme="minorEastAsia" w:eastAsiaTheme="minorEastAsia"/>
                <w:szCs w:val="21"/>
              </w:rPr>
              <w:t>2.1-1</w:t>
            </w:r>
          </w:p>
        </w:tc>
        <w:tc>
          <w:tcPr>
            <w:tcW w:w="992" w:type="dxa"/>
            <w:vAlign w:val="center"/>
          </w:tcPr>
          <w:p>
            <w:pPr>
              <w:jc w:val="center"/>
              <w:rPr>
                <w:rFonts w:asciiTheme="minorEastAsia" w:hAnsiTheme="minorEastAsia" w:eastAsiaTheme="minorEastAsia" w:cstheme="minorEastAsia"/>
                <w:szCs w:val="21"/>
              </w:rPr>
            </w:pPr>
            <w:r>
              <w:rPr>
                <w:rFonts w:hint="eastAsia" w:cs="Arial" w:asciiTheme="minorEastAsia" w:hAnsiTheme="minorEastAsia" w:eastAsiaTheme="minorEastAsia"/>
                <w:szCs w:val="21"/>
              </w:rPr>
              <w:t>0.9-0</w:t>
            </w:r>
          </w:p>
        </w:tc>
      </w:tr>
    </w:tbl>
    <w:p>
      <w:pPr>
        <w:spacing w:line="400" w:lineRule="exact"/>
        <w:rPr>
          <w:rFonts w:ascii="宋体" w:hAnsi="宋体" w:cs="Arial"/>
          <w:color w:val="000000" w:themeColor="text1"/>
          <w:sz w:val="22"/>
          <w14:textFill>
            <w14:solidFill>
              <w14:schemeClr w14:val="tx1"/>
            </w14:solidFill>
          </w14:textFill>
        </w:rPr>
      </w:pPr>
      <w:r>
        <w:rPr>
          <w:rFonts w:hint="eastAsia" w:ascii="宋体" w:hAnsi="宋体" w:cs="Arial"/>
          <w:color w:val="000000" w:themeColor="text1"/>
          <w:sz w:val="22"/>
          <w14:textFill>
            <w14:solidFill>
              <w14:schemeClr w14:val="tx1"/>
            </w14:solidFill>
          </w14:textFill>
        </w:rPr>
        <w:t>2、</w:t>
      </w:r>
      <w:r>
        <w:rPr>
          <w:rFonts w:hint="eastAsia" w:ascii="宋体" w:hAnsi="宋体" w:cs="Arial"/>
          <w:b/>
          <w:color w:val="000000" w:themeColor="text1"/>
          <w:sz w:val="22"/>
          <w14:textFill>
            <w14:solidFill>
              <w14:schemeClr w14:val="tx1"/>
            </w14:solidFill>
          </w14:textFill>
        </w:rPr>
        <w:t>商务评分（40分）</w:t>
      </w:r>
      <w:r>
        <w:rPr>
          <w:rFonts w:hint="eastAsia" w:ascii="宋体" w:hAnsi="宋体" w:cs="Arial"/>
          <w:color w:val="000000" w:themeColor="text1"/>
          <w:sz w:val="22"/>
          <w14:textFill>
            <w14:solidFill>
              <w14:schemeClr w14:val="tx1"/>
            </w14:solidFill>
          </w14:textFill>
        </w:rPr>
        <w:t>：</w:t>
      </w:r>
    </w:p>
    <w:p>
      <w:pPr>
        <w:spacing w:line="380" w:lineRule="exact"/>
        <w:ind w:firstLine="331" w:firstLineChars="150"/>
        <w:rPr>
          <w:rFonts w:ascii="宋体" w:hAnsi="宋体" w:cs="hakuyoxingshu7000"/>
          <w:b/>
          <w:color w:val="000000" w:themeColor="text1"/>
          <w:sz w:val="22"/>
          <w14:textFill>
            <w14:solidFill>
              <w14:schemeClr w14:val="tx1"/>
            </w14:solidFill>
          </w14:textFill>
        </w:rPr>
      </w:pPr>
      <w:r>
        <w:rPr>
          <w:rFonts w:hint="eastAsia" w:ascii="宋体" w:hAnsi="宋体" w:cs="hakuyoxingshu7000"/>
          <w:b/>
          <w:color w:val="000000" w:themeColor="text1"/>
          <w:sz w:val="22"/>
          <w14:textFill>
            <w14:solidFill>
              <w14:schemeClr w14:val="tx1"/>
            </w14:solidFill>
          </w14:textFill>
        </w:rPr>
        <w:t>满足招标文件要求且投标价格最低的投标报价为评标基准价；</w:t>
      </w:r>
    </w:p>
    <w:p>
      <w:pPr>
        <w:adjustRightInd w:val="0"/>
        <w:snapToGrid w:val="0"/>
        <w:spacing w:line="380" w:lineRule="exact"/>
        <w:ind w:firstLine="440" w:firstLineChars="200"/>
        <w:rPr>
          <w:rFonts w:ascii="宋体" w:hAnsi="宋体" w:cs="仿宋"/>
          <w:color w:val="000000" w:themeColor="text1"/>
          <w:sz w:val="22"/>
          <w:szCs w:val="22"/>
          <w14:textFill>
            <w14:solidFill>
              <w14:schemeClr w14:val="tx1"/>
            </w14:solidFill>
          </w14:textFill>
        </w:rPr>
      </w:pPr>
      <w:r>
        <w:rPr>
          <w:rFonts w:hint="eastAsia" w:ascii="宋体" w:hAnsi="宋体" w:cs="仿宋"/>
          <w:color w:val="000000" w:themeColor="text1"/>
          <w:sz w:val="22"/>
          <w:szCs w:val="22"/>
          <w14:textFill>
            <w14:solidFill>
              <w14:schemeClr w14:val="tx1"/>
            </w14:solidFill>
          </w14:textFill>
        </w:rPr>
        <w:t>满足招标文件要求且最低投标报价为评标基准值，其余投标人</w:t>
      </w:r>
      <w:r>
        <w:rPr>
          <w:rFonts w:hint="eastAsia" w:ascii="宋体" w:hAnsi="宋体" w:cs="宋体"/>
          <w:color w:val="000000" w:themeColor="text1"/>
          <w:sz w:val="22"/>
          <w:szCs w:val="22"/>
          <w14:textFill>
            <w14:solidFill>
              <w14:schemeClr w14:val="tx1"/>
            </w14:solidFill>
          </w14:textFill>
        </w:rPr>
        <w:t>报格</w:t>
      </w:r>
      <w:r>
        <w:rPr>
          <w:rFonts w:hint="eastAsia" w:ascii="宋体" w:hAnsi="宋体" w:cs="仿宋"/>
          <w:color w:val="000000" w:themeColor="text1"/>
          <w:sz w:val="22"/>
          <w:szCs w:val="22"/>
          <w14:textFill>
            <w14:solidFill>
              <w14:schemeClr w14:val="tx1"/>
            </w14:solidFill>
          </w14:textFill>
        </w:rPr>
        <w:t>与该基准值对比，计算出商务评分值（保留小数点后2位）：</w:t>
      </w:r>
    </w:p>
    <w:p>
      <w:pPr>
        <w:adjustRightInd w:val="0"/>
        <w:snapToGrid w:val="0"/>
        <w:spacing w:line="440" w:lineRule="exact"/>
        <w:ind w:firstLine="440" w:firstLineChars="200"/>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1）有效投标人的投标报格等于评标基准值时其报价分为满分40分；</w:t>
      </w:r>
    </w:p>
    <w:p>
      <w:pPr>
        <w:adjustRightInd w:val="0"/>
        <w:snapToGrid w:val="0"/>
        <w:spacing w:line="440" w:lineRule="exact"/>
        <w:ind w:firstLine="440" w:firstLineChars="200"/>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2）其他投标人的价格分按以下公式计算：</w:t>
      </w:r>
    </w:p>
    <w:p>
      <w:pPr>
        <w:adjustRightInd w:val="0"/>
        <w:snapToGrid w:val="0"/>
        <w:spacing w:line="440" w:lineRule="exact"/>
        <w:ind w:firstLine="440" w:firstLineChars="200"/>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投标报价得分=（评分基准值/投标人投标报格）×40（保留小数2位）</w:t>
      </w:r>
    </w:p>
    <w:p>
      <w:pPr>
        <w:adjustRightInd w:val="0"/>
        <w:snapToGrid w:val="0"/>
        <w:spacing w:line="440" w:lineRule="exact"/>
        <w:ind w:firstLine="442" w:firstLineChars="200"/>
        <w:rPr>
          <w:rFonts w:ascii="宋体" w:hAnsi="宋体" w:cs="宋体"/>
          <w:b/>
          <w:color w:val="000000" w:themeColor="text1"/>
          <w:sz w:val="22"/>
          <w:szCs w:val="22"/>
          <w14:textFill>
            <w14:solidFill>
              <w14:schemeClr w14:val="tx1"/>
            </w14:solidFill>
          </w14:textFill>
        </w:rPr>
      </w:pPr>
      <w:r>
        <w:rPr>
          <w:rFonts w:hint="eastAsia" w:ascii="宋体" w:hAnsi="宋体" w:cs="宋体"/>
          <w:b/>
          <w:color w:val="000000" w:themeColor="text1"/>
          <w:sz w:val="22"/>
          <w:szCs w:val="22"/>
          <w14:textFill>
            <w14:solidFill>
              <w14:schemeClr w14:val="tx1"/>
            </w14:solidFill>
          </w14:textFill>
        </w:rPr>
        <w:t>3）▲</w:t>
      </w:r>
      <w:r>
        <w:rPr>
          <w:rFonts w:hint="eastAsia" w:ascii="宋体" w:hAnsi="宋体" w:cs="宋体"/>
          <w:b/>
          <w:color w:val="000000" w:themeColor="text1"/>
          <w:sz w:val="22"/>
          <w:szCs w:val="22"/>
          <w:u w:val="single"/>
          <w14:textFill>
            <w14:solidFill>
              <w14:schemeClr w14:val="tx1"/>
            </w14:solidFill>
          </w14:textFill>
        </w:rPr>
        <w:t xml:space="preserve">本项目采购预算为: </w:t>
      </w:r>
      <w:r>
        <w:rPr>
          <w:rFonts w:hint="eastAsia" w:ascii="宋体" w:hAnsi="宋体" w:cs="宋体"/>
          <w:b/>
          <w:color w:val="000000" w:themeColor="text1"/>
          <w:sz w:val="22"/>
          <w:szCs w:val="22"/>
          <w:u w:val="single"/>
          <w:lang w:eastAsia="zh-CN"/>
          <w14:textFill>
            <w14:solidFill>
              <w14:schemeClr w14:val="tx1"/>
            </w14:solidFill>
          </w14:textFill>
        </w:rPr>
        <w:t>104</w:t>
      </w:r>
      <w:r>
        <w:rPr>
          <w:rFonts w:hint="eastAsia" w:ascii="宋体" w:hAnsi="宋体" w:cs="宋体"/>
          <w:b/>
          <w:color w:val="000000" w:themeColor="text1"/>
          <w:sz w:val="22"/>
          <w:szCs w:val="22"/>
          <w:u w:val="single"/>
          <w14:textFill>
            <w14:solidFill>
              <w14:schemeClr w14:val="tx1"/>
            </w14:solidFill>
          </w14:textFill>
        </w:rPr>
        <w:t>万元。投标人报价若超过采购预算，则做无效标处理。</w:t>
      </w:r>
    </w:p>
    <w:p>
      <w:pPr>
        <w:spacing w:line="400" w:lineRule="exact"/>
        <w:rPr>
          <w:rFonts w:ascii="宋体" w:hAnsi="宋体" w:cs="Arial"/>
          <w:color w:val="000000" w:themeColor="text1"/>
          <w:sz w:val="22"/>
          <w14:textFill>
            <w14:solidFill>
              <w14:schemeClr w14:val="tx1"/>
            </w14:solidFill>
          </w14:textFill>
        </w:rPr>
      </w:pPr>
      <w:r>
        <w:rPr>
          <w:rFonts w:hint="eastAsia" w:ascii="宋体" w:hAnsi="宋体" w:cs="Arial"/>
          <w:color w:val="000000" w:themeColor="text1"/>
          <w:sz w:val="22"/>
          <w14:textFill>
            <w14:solidFill>
              <w14:schemeClr w14:val="tx1"/>
            </w14:solidFill>
          </w14:textFill>
        </w:rPr>
        <w:t>3、 有效投标人的综合得分为技术资信分和商务（报价）分的总和。</w:t>
      </w:r>
    </w:p>
    <w:p>
      <w:pPr>
        <w:spacing w:line="400" w:lineRule="exact"/>
        <w:ind w:left="440" w:hanging="440" w:hangingChars="200"/>
        <w:rPr>
          <w:rFonts w:ascii="宋体" w:hAnsi="宋体" w:cs="Arial"/>
          <w:color w:val="000000" w:themeColor="text1"/>
          <w:sz w:val="22"/>
          <w14:textFill>
            <w14:solidFill>
              <w14:schemeClr w14:val="tx1"/>
            </w14:solidFill>
          </w14:textFill>
        </w:rPr>
      </w:pPr>
      <w:r>
        <w:rPr>
          <w:rFonts w:hint="eastAsia" w:ascii="宋体" w:hAnsi="宋体" w:cs="Arial"/>
          <w:color w:val="000000" w:themeColor="text1"/>
          <w:sz w:val="22"/>
          <w14:textFill>
            <w14:solidFill>
              <w14:schemeClr w14:val="tx1"/>
            </w14:solidFill>
          </w14:textFill>
        </w:rPr>
        <w:t>4、评标委员会依据法律、法规及招标文件有关规定在有效标中按投标人的最终得分（即技术资信分与商务分之和）高低进行排序，得分前两名的投标人依次推荐为中标候选人（得分相同投标报价低的排序第一；得分且投标报价相同的，技术指标优的排序第一），向招标人推荐，并提交评标报告。</w:t>
      </w:r>
    </w:p>
    <w:p>
      <w:pPr>
        <w:spacing w:line="420" w:lineRule="exact"/>
        <w:rPr>
          <w:rFonts w:ascii="宋体" w:hAnsi="宋体" w:cs="Arial"/>
          <w:b/>
          <w:color w:val="000000" w:themeColor="text1"/>
          <w:sz w:val="22"/>
          <w14:textFill>
            <w14:solidFill>
              <w14:schemeClr w14:val="tx1"/>
            </w14:solidFill>
          </w14:textFill>
        </w:rPr>
      </w:pPr>
      <w:r>
        <w:rPr>
          <w:rFonts w:hint="eastAsia" w:ascii="宋体" w:hAnsi="宋体" w:cs="Arial"/>
          <w:b/>
          <w:color w:val="000000" w:themeColor="text1"/>
          <w:sz w:val="22"/>
          <w14:textFill>
            <w14:solidFill>
              <w14:schemeClr w14:val="tx1"/>
            </w14:solidFill>
          </w14:textFill>
        </w:rPr>
        <w:t>六、定标办法</w:t>
      </w:r>
      <w:bookmarkEnd w:id="197"/>
      <w:bookmarkEnd w:id="198"/>
    </w:p>
    <w:p>
      <w:pPr>
        <w:overflowPunct w:val="0"/>
        <w:spacing w:line="400" w:lineRule="exact"/>
        <w:ind w:left="439" w:leftChars="209"/>
        <w:rPr>
          <w:rFonts w:ascii="宋体" w:hAnsi="宋体"/>
          <w:color w:val="000000" w:themeColor="text1"/>
          <w:sz w:val="22"/>
          <w:szCs w:val="22"/>
          <w14:textFill>
            <w14:solidFill>
              <w14:schemeClr w14:val="tx1"/>
            </w14:solidFill>
          </w14:textFill>
        </w:rPr>
      </w:pPr>
      <w:r>
        <w:rPr>
          <w:rFonts w:hint="eastAsia" w:ascii="宋体" w:hAnsi="宋体" w:cs="Arial"/>
          <w:color w:val="000000" w:themeColor="text1"/>
          <w:sz w:val="22"/>
          <w14:textFill>
            <w14:solidFill>
              <w14:schemeClr w14:val="tx1"/>
            </w14:solidFill>
          </w14:textFill>
        </w:rPr>
        <w:t>本次招标由评标委员会推荐中标候选人，</w:t>
      </w:r>
      <w:r>
        <w:rPr>
          <w:rFonts w:hint="eastAsia" w:ascii="宋体" w:hAnsi="宋体"/>
          <w:color w:val="000000" w:themeColor="text1"/>
          <w:sz w:val="22"/>
          <w:szCs w:val="22"/>
          <w14:textFill>
            <w14:solidFill>
              <w14:schemeClr w14:val="tx1"/>
            </w14:solidFill>
          </w14:textFill>
        </w:rPr>
        <w:t>招标人根据评标委员会的推荐结果进行最终确认</w:t>
      </w:r>
      <w:r>
        <w:rPr>
          <w:rFonts w:hint="eastAsia" w:ascii="宋体" w:hAnsi="宋体" w:cs="Arial"/>
          <w:color w:val="000000" w:themeColor="text1"/>
          <w:sz w:val="22"/>
          <w14:textFill>
            <w14:solidFill>
              <w14:schemeClr w14:val="tx1"/>
            </w14:solidFill>
          </w14:textFill>
        </w:rPr>
        <w:t>。如中标人放弃中标、或因不可抗力提出不能履行合同；或者招标文件规定应当提交履约保证金而在规定的期限内未能提交的；或未能在规定时间内与招标人签订合同的；或者经质疑，招标人审查后，</w:t>
      </w:r>
      <w:r>
        <w:rPr>
          <w:rFonts w:hint="eastAsia" w:ascii="宋体" w:hAnsi="宋体"/>
          <w:color w:val="000000" w:themeColor="text1"/>
          <w:sz w:val="22"/>
          <w14:textFill>
            <w14:solidFill>
              <w14:schemeClr w14:val="tx1"/>
            </w14:solidFill>
          </w14:textFill>
        </w:rPr>
        <w:t>确因中标候选人在本次采购活动中存在违法违规行为或其他原因使质疑成立的，招标人可以视具体情况确定是否由排名后续中标候选人为中标人。如后续中标候选人因前款规定的同样原因不能签订合同的，本次招标失败，重新组织招标。</w:t>
      </w:r>
    </w:p>
    <w:p>
      <w:pPr>
        <w:spacing w:line="420" w:lineRule="exact"/>
        <w:rPr>
          <w:rFonts w:ascii="宋体" w:hAnsi="宋体" w:cs="Arial"/>
          <w:b/>
          <w:color w:val="000000" w:themeColor="text1"/>
          <w:sz w:val="22"/>
          <w14:textFill>
            <w14:solidFill>
              <w14:schemeClr w14:val="tx1"/>
            </w14:solidFill>
          </w14:textFill>
        </w:rPr>
      </w:pPr>
      <w:bookmarkStart w:id="199" w:name="_Toc221356904"/>
      <w:bookmarkStart w:id="200" w:name="_Toc221356967"/>
      <w:r>
        <w:rPr>
          <w:rFonts w:hint="eastAsia" w:ascii="宋体" w:hAnsi="宋体" w:cs="Arial"/>
          <w:b/>
          <w:color w:val="000000" w:themeColor="text1"/>
          <w:sz w:val="22"/>
          <w14:textFill>
            <w14:solidFill>
              <w14:schemeClr w14:val="tx1"/>
            </w14:solidFill>
          </w14:textFill>
        </w:rPr>
        <w:t>七、确定中标人</w:t>
      </w:r>
      <w:bookmarkEnd w:id="199"/>
      <w:bookmarkEnd w:id="200"/>
    </w:p>
    <w:p>
      <w:pPr>
        <w:spacing w:line="400" w:lineRule="exact"/>
        <w:ind w:left="439" w:leftChars="209"/>
        <w:rPr>
          <w:rFonts w:ascii="宋体" w:hAnsi="宋体" w:cs="Arial"/>
          <w:color w:val="000000" w:themeColor="text1"/>
          <w:sz w:val="22"/>
          <w:szCs w:val="22"/>
          <w14:textFill>
            <w14:solidFill>
              <w14:schemeClr w14:val="tx1"/>
            </w14:solidFill>
          </w14:textFill>
        </w:rPr>
      </w:pPr>
      <w:r>
        <w:rPr>
          <w:rFonts w:hint="eastAsia" w:ascii="宋体" w:hAnsi="宋体" w:cs="Arial"/>
          <w:color w:val="000000" w:themeColor="text1"/>
          <w:sz w:val="22"/>
          <w:szCs w:val="22"/>
          <w14:textFill>
            <w14:solidFill>
              <w14:schemeClr w14:val="tx1"/>
            </w14:solidFill>
          </w14:textFill>
        </w:rPr>
        <w:t>评标结束后，招标人将在采购指定信息媒体上公示中标结果。公示期结束，在规定期限内无异议则招标机构将向中标人发出中标通知书。</w:t>
      </w:r>
    </w:p>
    <w:p>
      <w:pPr>
        <w:spacing w:line="420" w:lineRule="exact"/>
        <w:rPr>
          <w:rFonts w:ascii="宋体" w:hAnsi="宋体" w:cs="Arial"/>
          <w:b/>
          <w:color w:val="000000" w:themeColor="text1"/>
          <w:sz w:val="22"/>
          <w14:textFill>
            <w14:solidFill>
              <w14:schemeClr w14:val="tx1"/>
            </w14:solidFill>
          </w14:textFill>
        </w:rPr>
      </w:pPr>
      <w:bookmarkStart w:id="201" w:name="_Toc221356905"/>
      <w:bookmarkStart w:id="202" w:name="_Toc221356968"/>
      <w:r>
        <w:rPr>
          <w:rFonts w:hint="eastAsia" w:ascii="宋体" w:hAnsi="宋体" w:cs="Arial"/>
          <w:b/>
          <w:color w:val="000000" w:themeColor="text1"/>
          <w:sz w:val="22"/>
          <w14:textFill>
            <w14:solidFill>
              <w14:schemeClr w14:val="tx1"/>
            </w14:solidFill>
          </w14:textFill>
        </w:rPr>
        <w:t>八、投标人义务</w:t>
      </w:r>
      <w:bookmarkEnd w:id="201"/>
      <w:bookmarkEnd w:id="202"/>
    </w:p>
    <w:p>
      <w:pPr>
        <w:spacing w:line="400" w:lineRule="exact"/>
        <w:ind w:left="439" w:leftChars="209"/>
        <w:rPr>
          <w:rFonts w:ascii="宋体" w:hAnsi="宋体" w:cs="Arial"/>
          <w:color w:val="000000" w:themeColor="text1"/>
          <w:sz w:val="22"/>
          <w:szCs w:val="22"/>
          <w14:textFill>
            <w14:solidFill>
              <w14:schemeClr w14:val="tx1"/>
            </w14:solidFill>
          </w14:textFill>
        </w:rPr>
      </w:pPr>
      <w:r>
        <w:rPr>
          <w:rFonts w:hint="eastAsia" w:ascii="宋体" w:hAnsi="宋体" w:cs="Arial"/>
          <w:color w:val="000000" w:themeColor="text1"/>
          <w:sz w:val="22"/>
          <w:szCs w:val="22"/>
          <w14:textFill>
            <w14:solidFill>
              <w14:schemeClr w14:val="tx1"/>
            </w14:solidFill>
          </w14:textFill>
        </w:rPr>
        <w:t>投标人应随时接受评标委员会的询标，解答包括有关的商务、技术问题等。评标结束，所有评标资料存招标机构备查。</w:t>
      </w:r>
    </w:p>
    <w:sectPr>
      <w:headerReference r:id="rId6" w:type="default"/>
      <w:type w:val="nextColumn"/>
      <w:pgSz w:w="11906" w:h="16838"/>
      <w:pgMar w:top="1134" w:right="1134" w:bottom="1134" w:left="1134" w:header="851" w:footer="851" w:gutter="0"/>
      <w:pgBorders>
        <w:top w:val="none" w:sz="0" w:space="0"/>
        <w:left w:val="none" w:sz="0" w:space="0"/>
        <w:bottom w:val="none" w:sz="0" w:space="0"/>
        <w:right w:val="none" w:sz="0" w:space="0"/>
      </w:pgBorders>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Arial Unicode MS">
    <w:panose1 w:val="020B0604020202020204"/>
    <w:charset w:val="86"/>
    <w:family w:val="swiss"/>
    <w:pitch w:val="default"/>
    <w:sig w:usb0="FFFFFFFF" w:usb1="E9FFFFFF" w:usb2="0000003F" w:usb3="00000000" w:csb0="603F01FF" w:csb1="FFFF0000"/>
  </w:font>
  <w:font w:name="微软雅黑">
    <w:panose1 w:val="020B0503020204020204"/>
    <w:charset w:val="86"/>
    <w:family w:val="swiss"/>
    <w:pitch w:val="default"/>
    <w:sig w:usb0="80000287" w:usb1="280F3C52" w:usb2="00000016" w:usb3="00000000" w:csb0="0004001F" w:csb1="00000000"/>
  </w:font>
  <w:font w:name="新宋体">
    <w:panose1 w:val="02010609030101010101"/>
    <w:charset w:val="86"/>
    <w:family w:val="modern"/>
    <w:pitch w:val="default"/>
    <w:sig w:usb0="00000003" w:usb1="288F0000" w:usb2="00000006" w:usb3="00000000" w:csb0="00040001" w:csb1="00000000"/>
  </w:font>
  <w:font w:name="hakuyoxingshu7000">
    <w:altName w:val="宋体"/>
    <w:panose1 w:val="02000600000000000000"/>
    <w:charset w:val="86"/>
    <w:family w:val="auto"/>
    <w:pitch w:val="default"/>
    <w:sig w:usb0="00000000" w:usb1="00000000" w:usb2="0000003F" w:usb3="00000000" w:csb0="603F00FF" w:csb1="FFFF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framePr w:wrap="around" w:vAnchor="text" w:hAnchor="margin" w:xAlign="center" w:y="1"/>
      <w:rPr>
        <w:rStyle w:val="27"/>
      </w:rPr>
    </w:pPr>
    <w:r>
      <w:fldChar w:fldCharType="begin"/>
    </w:r>
    <w:r>
      <w:rPr>
        <w:rStyle w:val="27"/>
      </w:rPr>
      <w:instrText xml:space="preserve">PAGE  </w:instrText>
    </w:r>
    <w:r>
      <w:fldChar w:fldCharType="end"/>
    </w:r>
  </w:p>
  <w:p>
    <w:pPr>
      <w:pStyle w:val="1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9"/>
                          </w:pPr>
                          <w:r>
                            <w:fldChar w:fldCharType="begin"/>
                          </w:r>
                          <w:r>
                            <w:instrText xml:space="preserve"> PAGE  \* MERGEFORMAT </w:instrText>
                          </w:r>
                          <w:r>
                            <w:fldChar w:fldCharType="separate"/>
                          </w:r>
                          <w:r>
                            <w:t>25</w:t>
                          </w:r>
                          <w:r>
                            <w:fldChar w:fldCharType="end"/>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AMfG7OrgEAAEsD&#10;AAAOAAAAAAAAAAEAIAAAAB4BAABkcnMvZTJvRG9jLnhtbFBLBQYAAAAABgAGAFkBAAA+BQAAAAA=&#10;">
              <v:fill on="f" focussize="0,0"/>
              <v:stroke on="f"/>
              <v:imagedata o:title=""/>
              <o:lock v:ext="edit" aspectratio="f"/>
              <v:textbox inset="0mm,0mm,0mm,0mm" style="mso-fit-shape-to-text:t;">
                <w:txbxContent>
                  <w:p>
                    <w:pPr>
                      <w:pStyle w:val="19"/>
                    </w:pPr>
                    <w:r>
                      <w:fldChar w:fldCharType="begin"/>
                    </w:r>
                    <w:r>
                      <w:instrText xml:space="preserve"> PAGE  \* MERGEFORMAT </w:instrText>
                    </w:r>
                    <w:r>
                      <w:fldChar w:fldCharType="separate"/>
                    </w:r>
                    <w:r>
                      <w:t>25</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9"/>
                          </w:pPr>
                          <w:r>
                            <w:fldChar w:fldCharType="begin"/>
                          </w:r>
                          <w:r>
                            <w:instrText xml:space="preserve"> PAGE  \* MERGEFORMAT </w:instrText>
                          </w:r>
                          <w:r>
                            <w:fldChar w:fldCharType="separate"/>
                          </w:r>
                          <w:r>
                            <w:t>17</w:t>
                          </w:r>
                          <w:r>
                            <w:fldChar w:fldCharType="end"/>
                          </w:r>
                        </w:p>
                      </w:txbxContent>
                    </wps:txbx>
                    <wps:bodyPr wrap="none" lIns="0" tIns="0" rIns="0" bIns="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Ac17eWrgEAAEsD&#10;AAAOAAAAAAAAAAEAIAAAAB4BAABkcnMvZTJvRG9jLnhtbFBLBQYAAAAABgAGAFkBAAA+BQAAAAA=&#10;">
              <v:fill on="f" focussize="0,0"/>
              <v:stroke on="f"/>
              <v:imagedata o:title=""/>
              <o:lock v:ext="edit" aspectratio="f"/>
              <v:textbox inset="0mm,0mm,0mm,0mm" style="mso-fit-shape-to-text:t;">
                <w:txbxContent>
                  <w:p>
                    <w:pPr>
                      <w:pStyle w:val="19"/>
                    </w:pPr>
                    <w:r>
                      <w:fldChar w:fldCharType="begin"/>
                    </w:r>
                    <w:r>
                      <w:instrText xml:space="preserve"> PAGE  \* MERGEFORMAT </w:instrText>
                    </w:r>
                    <w:r>
                      <w:fldChar w:fldCharType="separate"/>
                    </w:r>
                    <w:r>
                      <w:t>17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9818883"/>
    <w:multiLevelType w:val="singleLevel"/>
    <w:tmpl w:val="E9818883"/>
    <w:lvl w:ilvl="0" w:tentative="0">
      <w:start w:val="1"/>
      <w:numFmt w:val="chineseCounting"/>
      <w:suff w:val="nothing"/>
      <w:lvlText w:val="%1、"/>
      <w:lvlJc w:val="left"/>
      <w:rPr>
        <w:rFonts w:hint="eastAsia"/>
      </w:rPr>
    </w:lvl>
  </w:abstractNum>
  <w:abstractNum w:abstractNumId="1">
    <w:nsid w:val="0000000E"/>
    <w:multiLevelType w:val="multilevel"/>
    <w:tmpl w:val="0000000E"/>
    <w:lvl w:ilvl="0" w:tentative="0">
      <w:start w:val="1"/>
      <w:numFmt w:val="decimal"/>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60"/>
        </w:tabs>
        <w:ind w:left="1260" w:hanging="420"/>
      </w:pPr>
      <w:rPr>
        <w:rFonts w:hint="eastAsia"/>
        <w:b w:val="0"/>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56C3F12"/>
    <w:multiLevelType w:val="multilevel"/>
    <w:tmpl w:val="056C3F12"/>
    <w:lvl w:ilvl="0" w:tentative="0">
      <w:start w:val="1"/>
      <w:numFmt w:val="none"/>
      <w:lvlText w:val="2"/>
      <w:lvlJc w:val="left"/>
      <w:pPr>
        <w:tabs>
          <w:tab w:val="left" w:pos="425"/>
        </w:tabs>
        <w:ind w:left="425" w:hanging="425"/>
      </w:pPr>
      <w:rPr>
        <w:rFonts w:hint="eastAsia"/>
      </w:rPr>
    </w:lvl>
    <w:lvl w:ilvl="1" w:tentative="0">
      <w:start w:val="1"/>
      <w:numFmt w:val="decimal"/>
      <w:lvlText w:val="%15.%2"/>
      <w:lvlJc w:val="left"/>
      <w:pPr>
        <w:tabs>
          <w:tab w:val="left" w:pos="992"/>
        </w:tabs>
        <w:ind w:left="992" w:hanging="567"/>
      </w:pPr>
      <w:rPr>
        <w:rFonts w:hint="eastAsia" w:ascii="楷体_GB2312" w:hAnsi="Arial" w:eastAsia="楷体_GB2312" w:cs="Arial"/>
        <w:b w:val="0"/>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3">
    <w:nsid w:val="05FE0DEB"/>
    <w:multiLevelType w:val="multilevel"/>
    <w:tmpl w:val="05FE0DEB"/>
    <w:lvl w:ilvl="0" w:tentative="0">
      <w:start w:val="1"/>
      <w:numFmt w:val="none"/>
      <w:lvlText w:val="2"/>
      <w:lvlJc w:val="left"/>
      <w:pPr>
        <w:tabs>
          <w:tab w:val="left" w:pos="425"/>
        </w:tabs>
        <w:ind w:left="425" w:hanging="425"/>
      </w:pPr>
      <w:rPr>
        <w:rFonts w:hint="eastAsia"/>
      </w:rPr>
    </w:lvl>
    <w:lvl w:ilvl="1" w:tentative="0">
      <w:start w:val="1"/>
      <w:numFmt w:val="decimal"/>
      <w:lvlText w:val="%12.%2"/>
      <w:lvlJc w:val="left"/>
      <w:pPr>
        <w:tabs>
          <w:tab w:val="left" w:pos="992"/>
        </w:tabs>
        <w:ind w:left="992" w:hanging="567"/>
      </w:pPr>
      <w:rPr>
        <w:rFonts w:hint="eastAsia" w:ascii="楷体_GB2312" w:hAnsi="Arial" w:eastAsia="楷体_GB2312" w:cs="Arial"/>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4">
    <w:nsid w:val="07D80E56"/>
    <w:multiLevelType w:val="multilevel"/>
    <w:tmpl w:val="07D80E56"/>
    <w:lvl w:ilvl="0" w:tentative="0">
      <w:start w:val="1"/>
      <w:numFmt w:val="decimal"/>
      <w:lvlText w:val="%1."/>
      <w:lvlJc w:val="left"/>
      <w:pPr>
        <w:tabs>
          <w:tab w:val="left" w:pos="420"/>
        </w:tabs>
        <w:ind w:left="420" w:hanging="420"/>
      </w:pPr>
      <w:rPr>
        <w:rFonts w:hint="eastAsia" w:ascii="楷体_GB2312" w:hAnsi="Arial" w:eastAsia="楷体_GB2312" w:cs="Arial"/>
        <w:b w:val="0"/>
      </w:rPr>
    </w:lvl>
    <w:lvl w:ilvl="1" w:tentative="0">
      <w:start w:val="1"/>
      <w:numFmt w:val="japaneseCounting"/>
      <w:lvlText w:val="%2、"/>
      <w:lvlJc w:val="left"/>
      <w:pPr>
        <w:tabs>
          <w:tab w:val="left" w:pos="870"/>
        </w:tabs>
        <w:ind w:left="870" w:hanging="450"/>
      </w:pPr>
      <w:rPr>
        <w:rFonts w:hint="default"/>
      </w:rPr>
    </w:lvl>
    <w:lvl w:ilvl="2" w:tentative="0">
      <w:start w:val="5"/>
      <w:numFmt w:val="decimal"/>
      <w:lvlText w:val="(%3)"/>
      <w:lvlJc w:val="left"/>
      <w:pPr>
        <w:tabs>
          <w:tab w:val="left" w:pos="1680"/>
        </w:tabs>
        <w:ind w:left="1680" w:hanging="840"/>
      </w:pPr>
      <w:rPr>
        <w:rFonts w:hint="default"/>
      </w:rPr>
    </w:lvl>
    <w:lvl w:ilvl="3" w:tentative="0">
      <w:start w:val="1"/>
      <w:numFmt w:val="decimal"/>
      <w:lvlText w:val="%4、"/>
      <w:lvlJc w:val="left"/>
      <w:pPr>
        <w:tabs>
          <w:tab w:val="left" w:pos="1620"/>
        </w:tabs>
        <w:ind w:left="1620" w:hanging="360"/>
      </w:pPr>
      <w:rPr>
        <w:rFonts w:hint="default"/>
      </w:rPr>
    </w:lvl>
    <w:lvl w:ilvl="4" w:tentative="0">
      <w:start w:val="3"/>
      <w:numFmt w:val="japaneseCounting"/>
      <w:lvlText w:val="（%5）"/>
      <w:lvlJc w:val="left"/>
      <w:pPr>
        <w:tabs>
          <w:tab w:val="left" w:pos="2400"/>
        </w:tabs>
        <w:ind w:left="2400" w:hanging="720"/>
      </w:pPr>
      <w:rPr>
        <w:rFonts w:hint="default" w:ascii="新宋体" w:hAnsi="新宋体" w:cs="Times New Roman"/>
      </w:rPr>
    </w:lvl>
    <w:lvl w:ilvl="5" w:tentative="0">
      <w:start w:val="1"/>
      <w:numFmt w:val="decimal"/>
      <w:lvlText w:val="（%6—"/>
      <w:lvlJc w:val="left"/>
      <w:pPr>
        <w:tabs>
          <w:tab w:val="left" w:pos="2820"/>
        </w:tabs>
        <w:ind w:left="2820" w:hanging="720"/>
      </w:pPr>
      <w:rPr>
        <w:rFonts w:hint="default"/>
      </w:rPr>
    </w:lvl>
    <w:lvl w:ilvl="6" w:tentative="0">
      <w:start w:val="1"/>
      <w:numFmt w:val="decimal"/>
      <w:lvlText w:val="（%7）"/>
      <w:lvlJc w:val="left"/>
      <w:pPr>
        <w:tabs>
          <w:tab w:val="left" w:pos="3600"/>
        </w:tabs>
        <w:ind w:left="3600" w:hanging="720"/>
      </w:pPr>
      <w:rPr>
        <w:rFonts w:hint="default"/>
      </w:r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A7569F7"/>
    <w:multiLevelType w:val="multilevel"/>
    <w:tmpl w:val="0A7569F7"/>
    <w:lvl w:ilvl="0" w:tentative="0">
      <w:start w:val="1"/>
      <w:numFmt w:val="none"/>
      <w:lvlText w:val="2"/>
      <w:lvlJc w:val="left"/>
      <w:pPr>
        <w:tabs>
          <w:tab w:val="left" w:pos="425"/>
        </w:tabs>
        <w:ind w:left="425" w:hanging="425"/>
      </w:pPr>
      <w:rPr>
        <w:rFonts w:hint="eastAsia"/>
      </w:rPr>
    </w:lvl>
    <w:lvl w:ilvl="1" w:tentative="0">
      <w:start w:val="1"/>
      <w:numFmt w:val="decimal"/>
      <w:lvlText w:val="%15.%2"/>
      <w:lvlJc w:val="left"/>
      <w:pPr>
        <w:tabs>
          <w:tab w:val="left" w:pos="992"/>
        </w:tabs>
        <w:ind w:left="992" w:hanging="567"/>
      </w:pPr>
      <w:rPr>
        <w:rFonts w:hint="eastAsia" w:ascii="楷体_GB2312" w:hAnsi="Arial" w:eastAsia="楷体_GB2312" w:cs="Arial"/>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6">
    <w:nsid w:val="0E631A2B"/>
    <w:multiLevelType w:val="multilevel"/>
    <w:tmpl w:val="0E631A2B"/>
    <w:lvl w:ilvl="0" w:tentative="0">
      <w:start w:val="1"/>
      <w:numFmt w:val="decimal"/>
      <w:lvlText w:val="%1."/>
      <w:lvlJc w:val="left"/>
      <w:pPr>
        <w:tabs>
          <w:tab w:val="left" w:pos="420"/>
        </w:tabs>
        <w:ind w:left="420" w:hanging="420"/>
      </w:pPr>
      <w:rPr>
        <w:rFonts w:hint="eastAsia" w:ascii="楷体_GB2312" w:hAnsi="Times New Roman" w:eastAsia="楷体_GB2312" w:cs="Times New Roman"/>
        <w:b w:val="0"/>
      </w:rPr>
    </w:lvl>
    <w:lvl w:ilvl="1" w:tentative="0">
      <w:start w:val="0"/>
      <w:numFmt w:val="none"/>
      <w:lvlText w:val=""/>
      <w:lvlJc w:val="left"/>
      <w:pPr>
        <w:tabs>
          <w:tab w:val="left" w:pos="360"/>
        </w:tabs>
      </w:pPr>
    </w:lvl>
    <w:lvl w:ilvl="2" w:tentative="0">
      <w:start w:val="0"/>
      <w:numFmt w:val="none"/>
      <w:lvlText w:val=""/>
      <w:lvlJc w:val="left"/>
      <w:pPr>
        <w:tabs>
          <w:tab w:val="left" w:pos="360"/>
        </w:tabs>
      </w:pPr>
    </w:lvl>
    <w:lvl w:ilvl="3" w:tentative="0">
      <w:start w:val="0"/>
      <w:numFmt w:val="none"/>
      <w:lvlText w:val=""/>
      <w:lvlJc w:val="left"/>
      <w:pPr>
        <w:tabs>
          <w:tab w:val="left" w:pos="360"/>
        </w:tabs>
      </w:pPr>
    </w:lvl>
    <w:lvl w:ilvl="4" w:tentative="0">
      <w:start w:val="0"/>
      <w:numFmt w:val="none"/>
      <w:lvlText w:val=""/>
      <w:lvlJc w:val="left"/>
      <w:pPr>
        <w:tabs>
          <w:tab w:val="left" w:pos="360"/>
        </w:tabs>
      </w:pPr>
    </w:lvl>
    <w:lvl w:ilvl="5" w:tentative="0">
      <w:start w:val="0"/>
      <w:numFmt w:val="none"/>
      <w:lvlText w:val=""/>
      <w:lvlJc w:val="left"/>
      <w:pPr>
        <w:tabs>
          <w:tab w:val="left" w:pos="360"/>
        </w:tabs>
      </w:pPr>
    </w:lvl>
    <w:lvl w:ilvl="6" w:tentative="0">
      <w:start w:val="0"/>
      <w:numFmt w:val="none"/>
      <w:lvlText w:val=""/>
      <w:lvlJc w:val="left"/>
      <w:pPr>
        <w:tabs>
          <w:tab w:val="left" w:pos="360"/>
        </w:tabs>
      </w:pPr>
    </w:lvl>
    <w:lvl w:ilvl="7" w:tentative="0">
      <w:start w:val="0"/>
      <w:numFmt w:val="none"/>
      <w:lvlText w:val=""/>
      <w:lvlJc w:val="left"/>
      <w:pPr>
        <w:tabs>
          <w:tab w:val="left" w:pos="360"/>
        </w:tabs>
      </w:pPr>
    </w:lvl>
    <w:lvl w:ilvl="8" w:tentative="0">
      <w:start w:val="0"/>
      <w:numFmt w:val="none"/>
      <w:lvlText w:val=""/>
      <w:lvlJc w:val="left"/>
      <w:pPr>
        <w:tabs>
          <w:tab w:val="left" w:pos="360"/>
        </w:tabs>
      </w:pPr>
    </w:lvl>
  </w:abstractNum>
  <w:abstractNum w:abstractNumId="7">
    <w:nsid w:val="12E33EB3"/>
    <w:multiLevelType w:val="multilevel"/>
    <w:tmpl w:val="12E33EB3"/>
    <w:lvl w:ilvl="0" w:tentative="0">
      <w:start w:val="1"/>
      <w:numFmt w:val="none"/>
      <w:lvlText w:val="2"/>
      <w:lvlJc w:val="left"/>
      <w:pPr>
        <w:tabs>
          <w:tab w:val="left" w:pos="425"/>
        </w:tabs>
        <w:ind w:left="425" w:hanging="425"/>
      </w:pPr>
      <w:rPr>
        <w:rFonts w:hint="eastAsia"/>
      </w:rPr>
    </w:lvl>
    <w:lvl w:ilvl="1" w:tentative="0">
      <w:start w:val="1"/>
      <w:numFmt w:val="decimal"/>
      <w:lvlText w:val="%12.%2"/>
      <w:lvlJc w:val="left"/>
      <w:pPr>
        <w:tabs>
          <w:tab w:val="left" w:pos="992"/>
        </w:tabs>
        <w:ind w:left="992" w:hanging="567"/>
      </w:pPr>
      <w:rPr>
        <w:rFonts w:hint="eastAsia"/>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8">
    <w:nsid w:val="15EF223A"/>
    <w:multiLevelType w:val="multilevel"/>
    <w:tmpl w:val="15EF223A"/>
    <w:lvl w:ilvl="0" w:tentative="0">
      <w:start w:val="1"/>
      <w:numFmt w:val="none"/>
      <w:lvlText w:val="2"/>
      <w:lvlJc w:val="left"/>
      <w:pPr>
        <w:tabs>
          <w:tab w:val="left" w:pos="425"/>
        </w:tabs>
        <w:ind w:left="425" w:hanging="425"/>
      </w:pPr>
      <w:rPr>
        <w:rFonts w:hint="eastAsia"/>
      </w:rPr>
    </w:lvl>
    <w:lvl w:ilvl="1" w:tentative="0">
      <w:start w:val="1"/>
      <w:numFmt w:val="decimal"/>
      <w:lvlText w:val="%15.%2"/>
      <w:lvlJc w:val="left"/>
      <w:pPr>
        <w:tabs>
          <w:tab w:val="left" w:pos="992"/>
        </w:tabs>
        <w:ind w:left="992" w:hanging="567"/>
      </w:pPr>
      <w:rPr>
        <w:rFonts w:hint="eastAsia" w:ascii="楷体_GB2312" w:hAnsi="Arial" w:eastAsia="楷体_GB2312" w:cs="Arial"/>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9">
    <w:nsid w:val="18EF380F"/>
    <w:multiLevelType w:val="multilevel"/>
    <w:tmpl w:val="18EF380F"/>
    <w:lvl w:ilvl="0" w:tentative="0">
      <w:start w:val="1"/>
      <w:numFmt w:val="none"/>
      <w:lvlText w:val="2"/>
      <w:lvlJc w:val="left"/>
      <w:pPr>
        <w:tabs>
          <w:tab w:val="left" w:pos="425"/>
        </w:tabs>
        <w:ind w:left="425" w:hanging="425"/>
      </w:pPr>
      <w:rPr>
        <w:rFonts w:hint="eastAsia"/>
      </w:rPr>
    </w:lvl>
    <w:lvl w:ilvl="1" w:tentative="0">
      <w:start w:val="1"/>
      <w:numFmt w:val="decimal"/>
      <w:lvlText w:val="%17.%2"/>
      <w:lvlJc w:val="left"/>
      <w:pPr>
        <w:tabs>
          <w:tab w:val="left" w:pos="992"/>
        </w:tabs>
        <w:ind w:left="992" w:hanging="567"/>
      </w:pPr>
      <w:rPr>
        <w:rFonts w:hint="eastAsia" w:ascii="楷体_GB2312" w:hAnsi="Arial" w:eastAsia="楷体_GB2312" w:cs="Arial"/>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10">
    <w:nsid w:val="1E5719E2"/>
    <w:multiLevelType w:val="multilevel"/>
    <w:tmpl w:val="1E5719E2"/>
    <w:lvl w:ilvl="0" w:tentative="0">
      <w:start w:val="1"/>
      <w:numFmt w:val="decimal"/>
      <w:lvlText w:val="%1."/>
      <w:lvlJc w:val="left"/>
      <w:pPr>
        <w:tabs>
          <w:tab w:val="left" w:pos="420"/>
        </w:tabs>
        <w:ind w:left="420" w:hanging="420"/>
      </w:pPr>
      <w:rPr>
        <w:rFonts w:hint="eastAsia" w:ascii="楷体_GB2312" w:hAnsi="Arial" w:eastAsia="楷体_GB2312" w:cs="Arial"/>
      </w:rPr>
    </w:lvl>
    <w:lvl w:ilvl="1" w:tentative="0">
      <w:start w:val="0"/>
      <w:numFmt w:val="none"/>
      <w:lvlText w:val=""/>
      <w:lvlJc w:val="left"/>
      <w:pPr>
        <w:tabs>
          <w:tab w:val="left" w:pos="360"/>
        </w:tabs>
      </w:pPr>
    </w:lvl>
    <w:lvl w:ilvl="2" w:tentative="0">
      <w:start w:val="0"/>
      <w:numFmt w:val="none"/>
      <w:lvlText w:val=""/>
      <w:lvlJc w:val="left"/>
      <w:pPr>
        <w:tabs>
          <w:tab w:val="left" w:pos="360"/>
        </w:tabs>
      </w:pPr>
    </w:lvl>
    <w:lvl w:ilvl="3" w:tentative="0">
      <w:start w:val="0"/>
      <w:numFmt w:val="none"/>
      <w:lvlText w:val=""/>
      <w:lvlJc w:val="left"/>
      <w:pPr>
        <w:tabs>
          <w:tab w:val="left" w:pos="360"/>
        </w:tabs>
      </w:pPr>
    </w:lvl>
    <w:lvl w:ilvl="4" w:tentative="0">
      <w:start w:val="0"/>
      <w:numFmt w:val="none"/>
      <w:lvlText w:val=""/>
      <w:lvlJc w:val="left"/>
      <w:pPr>
        <w:tabs>
          <w:tab w:val="left" w:pos="360"/>
        </w:tabs>
      </w:pPr>
    </w:lvl>
    <w:lvl w:ilvl="5" w:tentative="0">
      <w:start w:val="0"/>
      <w:numFmt w:val="none"/>
      <w:lvlText w:val=""/>
      <w:lvlJc w:val="left"/>
      <w:pPr>
        <w:tabs>
          <w:tab w:val="left" w:pos="360"/>
        </w:tabs>
      </w:pPr>
    </w:lvl>
    <w:lvl w:ilvl="6" w:tentative="0">
      <w:start w:val="0"/>
      <w:numFmt w:val="none"/>
      <w:lvlText w:val=""/>
      <w:lvlJc w:val="left"/>
      <w:pPr>
        <w:tabs>
          <w:tab w:val="left" w:pos="360"/>
        </w:tabs>
      </w:pPr>
    </w:lvl>
    <w:lvl w:ilvl="7" w:tentative="0">
      <w:start w:val="0"/>
      <w:numFmt w:val="none"/>
      <w:lvlText w:val=""/>
      <w:lvlJc w:val="left"/>
      <w:pPr>
        <w:tabs>
          <w:tab w:val="left" w:pos="360"/>
        </w:tabs>
      </w:pPr>
    </w:lvl>
    <w:lvl w:ilvl="8" w:tentative="0">
      <w:start w:val="0"/>
      <w:numFmt w:val="none"/>
      <w:lvlText w:val=""/>
      <w:lvlJc w:val="left"/>
      <w:pPr>
        <w:tabs>
          <w:tab w:val="left" w:pos="360"/>
        </w:tabs>
      </w:pPr>
    </w:lvl>
  </w:abstractNum>
  <w:abstractNum w:abstractNumId="11">
    <w:nsid w:val="20B74E73"/>
    <w:multiLevelType w:val="multilevel"/>
    <w:tmpl w:val="20B74E73"/>
    <w:lvl w:ilvl="0" w:tentative="0">
      <w:start w:val="1"/>
      <w:numFmt w:val="decimal"/>
      <w:lvlText w:val="（%1）"/>
      <w:lvlJc w:val="left"/>
      <w:pPr>
        <w:ind w:left="898" w:hanging="720"/>
      </w:pPr>
      <w:rPr>
        <w:rFonts w:hint="default" w:cs="Arial"/>
      </w:rPr>
    </w:lvl>
    <w:lvl w:ilvl="1" w:tentative="0">
      <w:start w:val="1"/>
      <w:numFmt w:val="lowerLetter"/>
      <w:lvlText w:val="%2)"/>
      <w:lvlJc w:val="left"/>
      <w:pPr>
        <w:ind w:left="1018" w:hanging="420"/>
      </w:pPr>
    </w:lvl>
    <w:lvl w:ilvl="2" w:tentative="0">
      <w:start w:val="1"/>
      <w:numFmt w:val="lowerRoman"/>
      <w:lvlText w:val="%3."/>
      <w:lvlJc w:val="right"/>
      <w:pPr>
        <w:ind w:left="1438" w:hanging="420"/>
      </w:pPr>
    </w:lvl>
    <w:lvl w:ilvl="3" w:tentative="0">
      <w:start w:val="1"/>
      <w:numFmt w:val="decimal"/>
      <w:lvlText w:val="%4."/>
      <w:lvlJc w:val="left"/>
      <w:pPr>
        <w:ind w:left="1858" w:hanging="420"/>
      </w:pPr>
    </w:lvl>
    <w:lvl w:ilvl="4" w:tentative="0">
      <w:start w:val="1"/>
      <w:numFmt w:val="lowerLetter"/>
      <w:lvlText w:val="%5)"/>
      <w:lvlJc w:val="left"/>
      <w:pPr>
        <w:ind w:left="2278" w:hanging="420"/>
      </w:pPr>
    </w:lvl>
    <w:lvl w:ilvl="5" w:tentative="0">
      <w:start w:val="1"/>
      <w:numFmt w:val="lowerRoman"/>
      <w:lvlText w:val="%6."/>
      <w:lvlJc w:val="right"/>
      <w:pPr>
        <w:ind w:left="2698" w:hanging="420"/>
      </w:pPr>
    </w:lvl>
    <w:lvl w:ilvl="6" w:tentative="0">
      <w:start w:val="1"/>
      <w:numFmt w:val="decimal"/>
      <w:lvlText w:val="%7."/>
      <w:lvlJc w:val="left"/>
      <w:pPr>
        <w:ind w:left="3118" w:hanging="420"/>
      </w:pPr>
    </w:lvl>
    <w:lvl w:ilvl="7" w:tentative="0">
      <w:start w:val="1"/>
      <w:numFmt w:val="lowerLetter"/>
      <w:lvlText w:val="%8)"/>
      <w:lvlJc w:val="left"/>
      <w:pPr>
        <w:ind w:left="3538" w:hanging="420"/>
      </w:pPr>
    </w:lvl>
    <w:lvl w:ilvl="8" w:tentative="0">
      <w:start w:val="1"/>
      <w:numFmt w:val="lowerRoman"/>
      <w:lvlText w:val="%9."/>
      <w:lvlJc w:val="right"/>
      <w:pPr>
        <w:ind w:left="3958" w:hanging="420"/>
      </w:pPr>
    </w:lvl>
  </w:abstractNum>
  <w:abstractNum w:abstractNumId="12">
    <w:nsid w:val="2434239E"/>
    <w:multiLevelType w:val="multilevel"/>
    <w:tmpl w:val="2434239E"/>
    <w:lvl w:ilvl="0" w:tentative="0">
      <w:start w:val="1"/>
      <w:numFmt w:val="decimal"/>
      <w:lvlText w:val="%1."/>
      <w:lvlJc w:val="left"/>
      <w:pPr>
        <w:tabs>
          <w:tab w:val="left" w:pos="420"/>
        </w:tabs>
        <w:ind w:left="420" w:hanging="420"/>
      </w:pPr>
      <w:rPr>
        <w:rFonts w:hint="eastAsia" w:ascii="楷体_GB2312" w:hAnsi="Arial" w:eastAsia="楷体_GB2312" w:cs="Arial"/>
      </w:rPr>
    </w:lvl>
    <w:lvl w:ilvl="1" w:tentative="0">
      <w:start w:val="0"/>
      <w:numFmt w:val="none"/>
      <w:lvlText w:val=""/>
      <w:lvlJc w:val="left"/>
      <w:pPr>
        <w:tabs>
          <w:tab w:val="left" w:pos="360"/>
        </w:tabs>
      </w:pPr>
    </w:lvl>
    <w:lvl w:ilvl="2" w:tentative="0">
      <w:start w:val="0"/>
      <w:numFmt w:val="none"/>
      <w:lvlText w:val=""/>
      <w:lvlJc w:val="left"/>
      <w:pPr>
        <w:tabs>
          <w:tab w:val="left" w:pos="360"/>
        </w:tabs>
      </w:pPr>
    </w:lvl>
    <w:lvl w:ilvl="3" w:tentative="0">
      <w:start w:val="0"/>
      <w:numFmt w:val="none"/>
      <w:lvlText w:val=""/>
      <w:lvlJc w:val="left"/>
      <w:pPr>
        <w:tabs>
          <w:tab w:val="left" w:pos="360"/>
        </w:tabs>
      </w:pPr>
    </w:lvl>
    <w:lvl w:ilvl="4" w:tentative="0">
      <w:start w:val="0"/>
      <w:numFmt w:val="none"/>
      <w:lvlText w:val=""/>
      <w:lvlJc w:val="left"/>
      <w:pPr>
        <w:tabs>
          <w:tab w:val="left" w:pos="360"/>
        </w:tabs>
      </w:pPr>
    </w:lvl>
    <w:lvl w:ilvl="5" w:tentative="0">
      <w:start w:val="0"/>
      <w:numFmt w:val="none"/>
      <w:lvlText w:val=""/>
      <w:lvlJc w:val="left"/>
      <w:pPr>
        <w:tabs>
          <w:tab w:val="left" w:pos="360"/>
        </w:tabs>
      </w:pPr>
    </w:lvl>
    <w:lvl w:ilvl="6" w:tentative="0">
      <w:start w:val="0"/>
      <w:numFmt w:val="none"/>
      <w:lvlText w:val=""/>
      <w:lvlJc w:val="left"/>
      <w:pPr>
        <w:tabs>
          <w:tab w:val="left" w:pos="360"/>
        </w:tabs>
      </w:pPr>
    </w:lvl>
    <w:lvl w:ilvl="7" w:tentative="0">
      <w:start w:val="0"/>
      <w:numFmt w:val="none"/>
      <w:lvlText w:val=""/>
      <w:lvlJc w:val="left"/>
      <w:pPr>
        <w:tabs>
          <w:tab w:val="left" w:pos="360"/>
        </w:tabs>
      </w:pPr>
    </w:lvl>
    <w:lvl w:ilvl="8" w:tentative="0">
      <w:start w:val="0"/>
      <w:numFmt w:val="none"/>
      <w:lvlText w:val=""/>
      <w:lvlJc w:val="left"/>
      <w:pPr>
        <w:tabs>
          <w:tab w:val="left" w:pos="360"/>
        </w:tabs>
      </w:pPr>
    </w:lvl>
  </w:abstractNum>
  <w:abstractNum w:abstractNumId="13">
    <w:nsid w:val="2A1C257D"/>
    <w:multiLevelType w:val="multilevel"/>
    <w:tmpl w:val="2A1C257D"/>
    <w:lvl w:ilvl="0" w:tentative="0">
      <w:start w:val="1"/>
      <w:numFmt w:val="decimal"/>
      <w:lvlText w:val="%1."/>
      <w:lvlJc w:val="left"/>
      <w:pPr>
        <w:tabs>
          <w:tab w:val="left" w:pos="420"/>
        </w:tabs>
        <w:ind w:left="420" w:hanging="420"/>
      </w:pPr>
      <w:rPr>
        <w:rFonts w:hint="default" w:ascii="Arial" w:hAnsi="Arial" w:cs="Arial"/>
        <w:b w:val="0"/>
      </w:rPr>
    </w:lvl>
    <w:lvl w:ilvl="1" w:tentative="0">
      <w:start w:val="1"/>
      <w:numFmt w:val="decimal"/>
      <w:lvlText w:val="%2)"/>
      <w:lvlJc w:val="left"/>
      <w:pPr>
        <w:tabs>
          <w:tab w:val="left" w:pos="840"/>
        </w:tabs>
        <w:ind w:left="840" w:hanging="420"/>
      </w:pPr>
      <w:rPr>
        <w:rFonts w:hint="eastAsia"/>
        <w:b w:val="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30A60BCF"/>
    <w:multiLevelType w:val="multilevel"/>
    <w:tmpl w:val="30A60BCF"/>
    <w:lvl w:ilvl="0" w:tentative="0">
      <w:start w:val="1"/>
      <w:numFmt w:val="none"/>
      <w:lvlText w:val="2"/>
      <w:lvlJc w:val="left"/>
      <w:pPr>
        <w:tabs>
          <w:tab w:val="left" w:pos="425"/>
        </w:tabs>
        <w:ind w:left="425" w:hanging="425"/>
      </w:pPr>
      <w:rPr>
        <w:rFonts w:hint="eastAsia"/>
      </w:rPr>
    </w:lvl>
    <w:lvl w:ilvl="1" w:tentative="0">
      <w:start w:val="1"/>
      <w:numFmt w:val="decimal"/>
      <w:lvlText w:val="%12.%2"/>
      <w:lvlJc w:val="left"/>
      <w:pPr>
        <w:tabs>
          <w:tab w:val="left" w:pos="992"/>
        </w:tabs>
        <w:ind w:left="992" w:hanging="567"/>
      </w:pPr>
      <w:rPr>
        <w:rFonts w:hint="eastAsia" w:ascii="楷体_GB2312" w:hAnsi="Arial" w:eastAsia="楷体_GB2312" w:cs="Arial"/>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15">
    <w:nsid w:val="30AC69EE"/>
    <w:multiLevelType w:val="multilevel"/>
    <w:tmpl w:val="30AC69EE"/>
    <w:lvl w:ilvl="0" w:tentative="0">
      <w:start w:val="1"/>
      <w:numFmt w:val="decimal"/>
      <w:lvlText w:val="（%1）"/>
      <w:lvlJc w:val="left"/>
      <w:pPr>
        <w:tabs>
          <w:tab w:val="left" w:pos="420"/>
        </w:tabs>
        <w:ind w:left="420" w:hanging="420"/>
      </w:pPr>
      <w:rPr>
        <w:rFonts w:hint="eastAsia" w:ascii="楷体_GB2312" w:hAnsi="Arial" w:eastAsia="楷体_GB2312" w:cs="Arial"/>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340021B3"/>
    <w:multiLevelType w:val="multilevel"/>
    <w:tmpl w:val="340021B3"/>
    <w:lvl w:ilvl="0" w:tentative="0">
      <w:start w:val="1"/>
      <w:numFmt w:val="none"/>
      <w:lvlText w:val="2"/>
      <w:lvlJc w:val="left"/>
      <w:pPr>
        <w:tabs>
          <w:tab w:val="left" w:pos="425"/>
        </w:tabs>
        <w:ind w:left="425" w:hanging="425"/>
      </w:pPr>
      <w:rPr>
        <w:rFonts w:hint="eastAsia"/>
      </w:rPr>
    </w:lvl>
    <w:lvl w:ilvl="1" w:tentative="0">
      <w:start w:val="1"/>
      <w:numFmt w:val="decimal"/>
      <w:lvlText w:val="%13.%2"/>
      <w:lvlJc w:val="left"/>
      <w:pPr>
        <w:tabs>
          <w:tab w:val="left" w:pos="992"/>
        </w:tabs>
        <w:ind w:left="992" w:hanging="567"/>
      </w:pPr>
      <w:rPr>
        <w:rFonts w:hint="eastAsia" w:ascii="楷体_GB2312" w:hAnsi="Arial" w:eastAsia="楷体_GB2312" w:cs="Arial"/>
        <w:b w:val="0"/>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17">
    <w:nsid w:val="37E9328B"/>
    <w:multiLevelType w:val="multilevel"/>
    <w:tmpl w:val="37E9328B"/>
    <w:lvl w:ilvl="0" w:tentative="0">
      <w:start w:val="1"/>
      <w:numFmt w:val="none"/>
      <w:lvlText w:val="2"/>
      <w:lvlJc w:val="left"/>
      <w:pPr>
        <w:tabs>
          <w:tab w:val="left" w:pos="425"/>
        </w:tabs>
        <w:ind w:left="425" w:hanging="425"/>
      </w:pPr>
      <w:rPr>
        <w:rFonts w:hint="eastAsia"/>
      </w:rPr>
    </w:lvl>
    <w:lvl w:ilvl="1" w:tentative="0">
      <w:start w:val="1"/>
      <w:numFmt w:val="decimal"/>
      <w:lvlText w:val="%13.%2"/>
      <w:lvlJc w:val="left"/>
      <w:pPr>
        <w:tabs>
          <w:tab w:val="left" w:pos="992"/>
        </w:tabs>
        <w:ind w:left="992" w:hanging="567"/>
      </w:pPr>
      <w:rPr>
        <w:rFonts w:hint="eastAsia" w:ascii="楷体_GB2312" w:hAnsi="Arial" w:eastAsia="楷体_GB2312" w:cs="Arial"/>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18">
    <w:nsid w:val="3BA90766"/>
    <w:multiLevelType w:val="multilevel"/>
    <w:tmpl w:val="3BA90766"/>
    <w:lvl w:ilvl="0" w:tentative="0">
      <w:start w:val="1"/>
      <w:numFmt w:val="decimal"/>
      <w:lvlText w:val="%1)"/>
      <w:lvlJc w:val="left"/>
      <w:pPr>
        <w:tabs>
          <w:tab w:val="left" w:pos="530"/>
        </w:tabs>
        <w:ind w:left="53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9">
    <w:nsid w:val="3CC351E3"/>
    <w:multiLevelType w:val="multilevel"/>
    <w:tmpl w:val="3CC351E3"/>
    <w:lvl w:ilvl="0" w:tentative="0">
      <w:start w:val="1"/>
      <w:numFmt w:val="decimal"/>
      <w:lvlText w:val="%1."/>
      <w:lvlJc w:val="left"/>
      <w:pPr>
        <w:tabs>
          <w:tab w:val="left" w:pos="420"/>
        </w:tabs>
        <w:ind w:left="420" w:hanging="420"/>
      </w:pPr>
      <w:rPr>
        <w:rFonts w:hint="eastAsia" w:ascii="楷体_GB2312" w:hAnsi="Arial" w:eastAsia="楷体_GB2312" w:cs="Arial"/>
        <w:b w:val="0"/>
      </w:rPr>
    </w:lvl>
    <w:lvl w:ilvl="1" w:tentative="0">
      <w:start w:val="0"/>
      <w:numFmt w:val="none"/>
      <w:lvlText w:val=""/>
      <w:lvlJc w:val="left"/>
      <w:pPr>
        <w:tabs>
          <w:tab w:val="left" w:pos="360"/>
        </w:tabs>
      </w:pPr>
    </w:lvl>
    <w:lvl w:ilvl="2" w:tentative="0">
      <w:start w:val="0"/>
      <w:numFmt w:val="none"/>
      <w:lvlText w:val=""/>
      <w:lvlJc w:val="left"/>
      <w:pPr>
        <w:tabs>
          <w:tab w:val="left" w:pos="360"/>
        </w:tabs>
      </w:pPr>
    </w:lvl>
    <w:lvl w:ilvl="3" w:tentative="0">
      <w:start w:val="0"/>
      <w:numFmt w:val="none"/>
      <w:lvlText w:val=""/>
      <w:lvlJc w:val="left"/>
      <w:pPr>
        <w:tabs>
          <w:tab w:val="left" w:pos="360"/>
        </w:tabs>
      </w:pPr>
    </w:lvl>
    <w:lvl w:ilvl="4" w:tentative="0">
      <w:start w:val="0"/>
      <w:numFmt w:val="none"/>
      <w:lvlText w:val=""/>
      <w:lvlJc w:val="left"/>
      <w:pPr>
        <w:tabs>
          <w:tab w:val="left" w:pos="360"/>
        </w:tabs>
      </w:pPr>
    </w:lvl>
    <w:lvl w:ilvl="5" w:tentative="0">
      <w:start w:val="0"/>
      <w:numFmt w:val="none"/>
      <w:lvlText w:val=""/>
      <w:lvlJc w:val="left"/>
      <w:pPr>
        <w:tabs>
          <w:tab w:val="left" w:pos="360"/>
        </w:tabs>
      </w:pPr>
    </w:lvl>
    <w:lvl w:ilvl="6" w:tentative="0">
      <w:start w:val="0"/>
      <w:numFmt w:val="none"/>
      <w:lvlText w:val=""/>
      <w:lvlJc w:val="left"/>
      <w:pPr>
        <w:tabs>
          <w:tab w:val="left" w:pos="360"/>
        </w:tabs>
      </w:pPr>
    </w:lvl>
    <w:lvl w:ilvl="7" w:tentative="0">
      <w:start w:val="0"/>
      <w:numFmt w:val="none"/>
      <w:lvlText w:val=""/>
      <w:lvlJc w:val="left"/>
      <w:pPr>
        <w:tabs>
          <w:tab w:val="left" w:pos="360"/>
        </w:tabs>
      </w:pPr>
    </w:lvl>
    <w:lvl w:ilvl="8" w:tentative="0">
      <w:start w:val="0"/>
      <w:numFmt w:val="none"/>
      <w:lvlText w:val=""/>
      <w:lvlJc w:val="left"/>
      <w:pPr>
        <w:tabs>
          <w:tab w:val="left" w:pos="360"/>
        </w:tabs>
      </w:pPr>
    </w:lvl>
  </w:abstractNum>
  <w:abstractNum w:abstractNumId="20">
    <w:nsid w:val="3E9C1B21"/>
    <w:multiLevelType w:val="multilevel"/>
    <w:tmpl w:val="3E9C1B21"/>
    <w:lvl w:ilvl="0" w:tentative="0">
      <w:start w:val="1"/>
      <w:numFmt w:val="none"/>
      <w:lvlText w:val="2"/>
      <w:lvlJc w:val="left"/>
      <w:pPr>
        <w:tabs>
          <w:tab w:val="left" w:pos="425"/>
        </w:tabs>
        <w:ind w:left="425" w:hanging="425"/>
      </w:pPr>
      <w:rPr>
        <w:rFonts w:hint="eastAsia"/>
      </w:rPr>
    </w:lvl>
    <w:lvl w:ilvl="1" w:tentative="0">
      <w:start w:val="1"/>
      <w:numFmt w:val="decimal"/>
      <w:lvlText w:val="%14.%2"/>
      <w:lvlJc w:val="left"/>
      <w:pPr>
        <w:tabs>
          <w:tab w:val="left" w:pos="992"/>
        </w:tabs>
        <w:ind w:left="992" w:hanging="567"/>
      </w:pPr>
      <w:rPr>
        <w:rFonts w:hint="eastAsia" w:ascii="楷体_GB2312" w:hAnsi="Arial" w:eastAsia="楷体_GB2312" w:cs="Arial"/>
        <w:b w:val="0"/>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21">
    <w:nsid w:val="3F7235CB"/>
    <w:multiLevelType w:val="multilevel"/>
    <w:tmpl w:val="3F7235CB"/>
    <w:lvl w:ilvl="0" w:tentative="0">
      <w:start w:val="1"/>
      <w:numFmt w:val="none"/>
      <w:lvlText w:val="2"/>
      <w:lvlJc w:val="left"/>
      <w:pPr>
        <w:tabs>
          <w:tab w:val="left" w:pos="425"/>
        </w:tabs>
        <w:ind w:left="425" w:hanging="425"/>
      </w:pPr>
      <w:rPr>
        <w:rFonts w:hint="eastAsia"/>
      </w:rPr>
    </w:lvl>
    <w:lvl w:ilvl="1" w:tentative="0">
      <w:start w:val="1"/>
      <w:numFmt w:val="decimal"/>
      <w:lvlText w:val="%13.%2"/>
      <w:lvlJc w:val="left"/>
      <w:pPr>
        <w:tabs>
          <w:tab w:val="left" w:pos="992"/>
        </w:tabs>
        <w:ind w:left="992" w:hanging="567"/>
      </w:pPr>
      <w:rPr>
        <w:rFonts w:hint="eastAsia" w:ascii="楷体_GB2312" w:hAnsi="Arial" w:eastAsia="楷体_GB2312" w:cs="Arial"/>
        <w:b w:val="0"/>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22">
    <w:nsid w:val="42E210F2"/>
    <w:multiLevelType w:val="multilevel"/>
    <w:tmpl w:val="42E210F2"/>
    <w:lvl w:ilvl="0" w:tentative="0">
      <w:start w:val="1"/>
      <w:numFmt w:val="decimal"/>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3">
    <w:nsid w:val="47EE3478"/>
    <w:multiLevelType w:val="multilevel"/>
    <w:tmpl w:val="47EE3478"/>
    <w:lvl w:ilvl="0" w:tentative="0">
      <w:start w:val="1"/>
      <w:numFmt w:val="none"/>
      <w:lvlText w:val="2"/>
      <w:lvlJc w:val="left"/>
      <w:pPr>
        <w:tabs>
          <w:tab w:val="left" w:pos="425"/>
        </w:tabs>
        <w:ind w:left="425" w:hanging="425"/>
      </w:pPr>
      <w:rPr>
        <w:rFonts w:hint="eastAsia"/>
      </w:rPr>
    </w:lvl>
    <w:lvl w:ilvl="1" w:tentative="0">
      <w:start w:val="1"/>
      <w:numFmt w:val="decimal"/>
      <w:lvlText w:val="%13.%2"/>
      <w:lvlJc w:val="left"/>
      <w:pPr>
        <w:tabs>
          <w:tab w:val="left" w:pos="992"/>
        </w:tabs>
        <w:ind w:left="992" w:hanging="567"/>
      </w:pPr>
      <w:rPr>
        <w:rFonts w:hint="eastAsia"/>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24">
    <w:nsid w:val="4DD64FA7"/>
    <w:multiLevelType w:val="multilevel"/>
    <w:tmpl w:val="4DD64FA7"/>
    <w:lvl w:ilvl="0" w:tentative="0">
      <w:start w:val="1"/>
      <w:numFmt w:val="none"/>
      <w:lvlText w:val="2"/>
      <w:lvlJc w:val="left"/>
      <w:pPr>
        <w:tabs>
          <w:tab w:val="left" w:pos="425"/>
        </w:tabs>
        <w:ind w:left="425" w:hanging="425"/>
      </w:pPr>
      <w:rPr>
        <w:rFonts w:hint="eastAsia"/>
      </w:rPr>
    </w:lvl>
    <w:lvl w:ilvl="1" w:tentative="0">
      <w:start w:val="1"/>
      <w:numFmt w:val="decimal"/>
      <w:lvlText w:val="%11.%2"/>
      <w:lvlJc w:val="left"/>
      <w:pPr>
        <w:tabs>
          <w:tab w:val="left" w:pos="992"/>
        </w:tabs>
        <w:ind w:left="992" w:hanging="567"/>
      </w:pPr>
      <w:rPr>
        <w:rFonts w:hint="eastAsia" w:ascii="楷体_GB2312" w:hAnsi="Arial" w:eastAsia="楷体_GB2312" w:cs="Arial"/>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25">
    <w:nsid w:val="4F664D40"/>
    <w:multiLevelType w:val="multilevel"/>
    <w:tmpl w:val="4F664D40"/>
    <w:lvl w:ilvl="0" w:tentative="0">
      <w:start w:val="1"/>
      <w:numFmt w:val="none"/>
      <w:lvlText w:val="2"/>
      <w:lvlJc w:val="left"/>
      <w:pPr>
        <w:tabs>
          <w:tab w:val="left" w:pos="425"/>
        </w:tabs>
        <w:ind w:left="425" w:hanging="425"/>
      </w:pPr>
      <w:rPr>
        <w:rFonts w:hint="eastAsia"/>
      </w:rPr>
    </w:lvl>
    <w:lvl w:ilvl="1" w:tentative="0">
      <w:start w:val="1"/>
      <w:numFmt w:val="decimal"/>
      <w:lvlText w:val="%12.%2"/>
      <w:lvlJc w:val="left"/>
      <w:pPr>
        <w:tabs>
          <w:tab w:val="left" w:pos="992"/>
        </w:tabs>
        <w:ind w:left="992" w:hanging="567"/>
      </w:pPr>
      <w:rPr>
        <w:rFonts w:hint="eastAsia"/>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26">
    <w:nsid w:val="50CC72CE"/>
    <w:multiLevelType w:val="multilevel"/>
    <w:tmpl w:val="50CC72CE"/>
    <w:lvl w:ilvl="0" w:tentative="0">
      <w:start w:val="1"/>
      <w:numFmt w:val="none"/>
      <w:lvlText w:val="2"/>
      <w:lvlJc w:val="left"/>
      <w:pPr>
        <w:tabs>
          <w:tab w:val="left" w:pos="425"/>
        </w:tabs>
        <w:ind w:left="425" w:hanging="425"/>
      </w:pPr>
      <w:rPr>
        <w:rFonts w:hint="eastAsia"/>
      </w:rPr>
    </w:lvl>
    <w:lvl w:ilvl="1" w:tentative="0">
      <w:start w:val="1"/>
      <w:numFmt w:val="decimal"/>
      <w:lvlText w:val="%16.%2"/>
      <w:lvlJc w:val="left"/>
      <w:pPr>
        <w:tabs>
          <w:tab w:val="left" w:pos="992"/>
        </w:tabs>
        <w:ind w:left="992" w:hanging="567"/>
      </w:pPr>
      <w:rPr>
        <w:rFonts w:hint="eastAsia" w:ascii="楷体_GB2312" w:hAnsi="Arial" w:eastAsia="楷体_GB2312" w:cs="Arial"/>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27">
    <w:nsid w:val="54F174F0"/>
    <w:multiLevelType w:val="multilevel"/>
    <w:tmpl w:val="54F174F0"/>
    <w:lvl w:ilvl="0" w:tentative="0">
      <w:start w:val="1"/>
      <w:numFmt w:val="decimal"/>
      <w:lvlText w:val="%1)"/>
      <w:lvlJc w:val="left"/>
      <w:pPr>
        <w:tabs>
          <w:tab w:val="left" w:pos="780"/>
        </w:tabs>
        <w:ind w:left="78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8">
    <w:nsid w:val="587E281B"/>
    <w:multiLevelType w:val="multilevel"/>
    <w:tmpl w:val="587E281B"/>
    <w:lvl w:ilvl="0" w:tentative="0">
      <w:start w:val="1"/>
      <w:numFmt w:val="decimal"/>
      <w:lvlText w:val="%1."/>
      <w:lvlJc w:val="left"/>
      <w:pPr>
        <w:tabs>
          <w:tab w:val="left" w:pos="420"/>
        </w:tabs>
        <w:ind w:left="420" w:hanging="420"/>
      </w:pPr>
      <w:rPr>
        <w:rFonts w:hint="eastAsia" w:ascii="楷体_GB2312" w:hAnsi="Arial" w:eastAsia="楷体_GB2312" w:cs="Arial"/>
        <w:b w:val="0"/>
      </w:rPr>
    </w:lvl>
    <w:lvl w:ilvl="1" w:tentative="0">
      <w:start w:val="0"/>
      <w:numFmt w:val="none"/>
      <w:lvlText w:val=""/>
      <w:lvlJc w:val="left"/>
      <w:pPr>
        <w:tabs>
          <w:tab w:val="left" w:pos="360"/>
        </w:tabs>
      </w:pPr>
    </w:lvl>
    <w:lvl w:ilvl="2" w:tentative="0">
      <w:start w:val="0"/>
      <w:numFmt w:val="none"/>
      <w:lvlText w:val=""/>
      <w:lvlJc w:val="left"/>
      <w:pPr>
        <w:tabs>
          <w:tab w:val="left" w:pos="360"/>
        </w:tabs>
      </w:pPr>
    </w:lvl>
    <w:lvl w:ilvl="3" w:tentative="0">
      <w:start w:val="0"/>
      <w:numFmt w:val="none"/>
      <w:lvlText w:val=""/>
      <w:lvlJc w:val="left"/>
      <w:pPr>
        <w:tabs>
          <w:tab w:val="left" w:pos="360"/>
        </w:tabs>
      </w:pPr>
    </w:lvl>
    <w:lvl w:ilvl="4" w:tentative="0">
      <w:start w:val="0"/>
      <w:numFmt w:val="none"/>
      <w:lvlText w:val=""/>
      <w:lvlJc w:val="left"/>
      <w:pPr>
        <w:tabs>
          <w:tab w:val="left" w:pos="360"/>
        </w:tabs>
      </w:pPr>
    </w:lvl>
    <w:lvl w:ilvl="5" w:tentative="0">
      <w:start w:val="0"/>
      <w:numFmt w:val="none"/>
      <w:lvlText w:val=""/>
      <w:lvlJc w:val="left"/>
      <w:pPr>
        <w:tabs>
          <w:tab w:val="left" w:pos="360"/>
        </w:tabs>
      </w:pPr>
    </w:lvl>
    <w:lvl w:ilvl="6" w:tentative="0">
      <w:start w:val="0"/>
      <w:numFmt w:val="none"/>
      <w:lvlText w:val=""/>
      <w:lvlJc w:val="left"/>
      <w:pPr>
        <w:tabs>
          <w:tab w:val="left" w:pos="360"/>
        </w:tabs>
      </w:pPr>
    </w:lvl>
    <w:lvl w:ilvl="7" w:tentative="0">
      <w:start w:val="0"/>
      <w:numFmt w:val="none"/>
      <w:lvlText w:val=""/>
      <w:lvlJc w:val="left"/>
      <w:pPr>
        <w:tabs>
          <w:tab w:val="left" w:pos="360"/>
        </w:tabs>
      </w:pPr>
    </w:lvl>
    <w:lvl w:ilvl="8" w:tentative="0">
      <w:start w:val="0"/>
      <w:numFmt w:val="none"/>
      <w:lvlText w:val=""/>
      <w:lvlJc w:val="left"/>
      <w:pPr>
        <w:tabs>
          <w:tab w:val="left" w:pos="360"/>
        </w:tabs>
      </w:pPr>
    </w:lvl>
  </w:abstractNum>
  <w:abstractNum w:abstractNumId="29">
    <w:nsid w:val="5A1B873B"/>
    <w:multiLevelType w:val="singleLevel"/>
    <w:tmpl w:val="5A1B873B"/>
    <w:lvl w:ilvl="0" w:tentative="0">
      <w:start w:val="1"/>
      <w:numFmt w:val="decimal"/>
      <w:suff w:val="space"/>
      <w:lvlText w:val="%1."/>
      <w:lvlJc w:val="left"/>
    </w:lvl>
  </w:abstractNum>
  <w:abstractNum w:abstractNumId="30">
    <w:nsid w:val="5DEB37C5"/>
    <w:multiLevelType w:val="multilevel"/>
    <w:tmpl w:val="5DEB37C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1">
    <w:nsid w:val="62313067"/>
    <w:multiLevelType w:val="multilevel"/>
    <w:tmpl w:val="62313067"/>
    <w:lvl w:ilvl="0" w:tentative="0">
      <w:start w:val="1"/>
      <w:numFmt w:val="decimal"/>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2">
    <w:nsid w:val="65FE0C54"/>
    <w:multiLevelType w:val="multilevel"/>
    <w:tmpl w:val="65FE0C54"/>
    <w:lvl w:ilvl="0" w:tentative="0">
      <w:start w:val="1"/>
      <w:numFmt w:val="none"/>
      <w:lvlText w:val="2"/>
      <w:lvlJc w:val="left"/>
      <w:pPr>
        <w:tabs>
          <w:tab w:val="left" w:pos="425"/>
        </w:tabs>
        <w:ind w:left="425" w:hanging="425"/>
      </w:pPr>
      <w:rPr>
        <w:rFonts w:hint="eastAsia"/>
      </w:rPr>
    </w:lvl>
    <w:lvl w:ilvl="1" w:tentative="0">
      <w:start w:val="1"/>
      <w:numFmt w:val="decimal"/>
      <w:lvlText w:val="%11.%2"/>
      <w:lvlJc w:val="left"/>
      <w:pPr>
        <w:tabs>
          <w:tab w:val="left" w:pos="992"/>
        </w:tabs>
        <w:ind w:left="992" w:hanging="567"/>
      </w:pPr>
      <w:rPr>
        <w:rFonts w:hint="eastAsia" w:ascii="楷体_GB2312" w:hAnsi="Arial" w:eastAsia="楷体_GB2312" w:cs="Arial"/>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33">
    <w:nsid w:val="6F9E3E9C"/>
    <w:multiLevelType w:val="multilevel"/>
    <w:tmpl w:val="6F9E3E9C"/>
    <w:lvl w:ilvl="0" w:tentative="0">
      <w:start w:val="1"/>
      <w:numFmt w:val="none"/>
      <w:lvlText w:val="2"/>
      <w:lvlJc w:val="left"/>
      <w:pPr>
        <w:tabs>
          <w:tab w:val="left" w:pos="425"/>
        </w:tabs>
        <w:ind w:left="425" w:hanging="425"/>
      </w:pPr>
      <w:rPr>
        <w:rFonts w:hint="eastAsia"/>
      </w:rPr>
    </w:lvl>
    <w:lvl w:ilvl="1" w:tentative="0">
      <w:start w:val="1"/>
      <w:numFmt w:val="decimal"/>
      <w:lvlText w:val="%18.%2"/>
      <w:lvlJc w:val="left"/>
      <w:pPr>
        <w:tabs>
          <w:tab w:val="left" w:pos="992"/>
        </w:tabs>
        <w:ind w:left="992" w:hanging="567"/>
      </w:pPr>
      <w:rPr>
        <w:rFonts w:hint="eastAsia" w:ascii="楷体_GB2312" w:hAnsi="Arial" w:eastAsia="楷体_GB2312" w:cs="Arial"/>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34">
    <w:nsid w:val="736C4813"/>
    <w:multiLevelType w:val="multilevel"/>
    <w:tmpl w:val="736C4813"/>
    <w:lvl w:ilvl="0" w:tentative="0">
      <w:start w:val="1"/>
      <w:numFmt w:val="none"/>
      <w:lvlText w:val="2"/>
      <w:lvlJc w:val="left"/>
      <w:pPr>
        <w:tabs>
          <w:tab w:val="left" w:pos="425"/>
        </w:tabs>
        <w:ind w:left="425" w:hanging="425"/>
      </w:pPr>
      <w:rPr>
        <w:rFonts w:hint="eastAsia"/>
      </w:rPr>
    </w:lvl>
    <w:lvl w:ilvl="1" w:tentative="0">
      <w:start w:val="1"/>
      <w:numFmt w:val="decimal"/>
      <w:lvlText w:val="%13.%2"/>
      <w:lvlJc w:val="left"/>
      <w:pPr>
        <w:tabs>
          <w:tab w:val="left" w:pos="992"/>
        </w:tabs>
        <w:ind w:left="992" w:hanging="567"/>
      </w:pPr>
      <w:rPr>
        <w:rFonts w:hint="eastAsia"/>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35">
    <w:nsid w:val="76DF1F21"/>
    <w:multiLevelType w:val="multilevel"/>
    <w:tmpl w:val="76DF1F21"/>
    <w:lvl w:ilvl="0" w:tentative="0">
      <w:start w:val="1"/>
      <w:numFmt w:val="none"/>
      <w:lvlText w:val="2"/>
      <w:lvlJc w:val="left"/>
      <w:pPr>
        <w:tabs>
          <w:tab w:val="left" w:pos="425"/>
        </w:tabs>
        <w:ind w:left="425" w:hanging="425"/>
      </w:pPr>
      <w:rPr>
        <w:rFonts w:hint="eastAsia"/>
      </w:rPr>
    </w:lvl>
    <w:lvl w:ilvl="1" w:tentative="0">
      <w:start w:val="1"/>
      <w:numFmt w:val="decimal"/>
      <w:lvlText w:val="%14.%2"/>
      <w:lvlJc w:val="left"/>
      <w:pPr>
        <w:tabs>
          <w:tab w:val="left" w:pos="992"/>
        </w:tabs>
        <w:ind w:left="992" w:hanging="567"/>
      </w:pPr>
      <w:rPr>
        <w:rFonts w:hint="eastAsia" w:ascii="楷体_GB2312" w:hAnsi="Arial" w:eastAsia="楷体_GB2312" w:cs="Arial"/>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36">
    <w:nsid w:val="797B3397"/>
    <w:multiLevelType w:val="multilevel"/>
    <w:tmpl w:val="797B3397"/>
    <w:lvl w:ilvl="0" w:tentative="0">
      <w:start w:val="1"/>
      <w:numFmt w:val="bullet"/>
      <w:lvlText w:val=""/>
      <w:lvlJc w:val="left"/>
      <w:pPr>
        <w:ind w:left="750" w:hanging="420"/>
      </w:pPr>
      <w:rPr>
        <w:rFonts w:hint="default" w:ascii="Wingdings" w:hAnsi="Wingdings"/>
      </w:rPr>
    </w:lvl>
    <w:lvl w:ilvl="1" w:tentative="0">
      <w:start w:val="1"/>
      <w:numFmt w:val="bullet"/>
      <w:lvlText w:val=""/>
      <w:lvlJc w:val="left"/>
      <w:pPr>
        <w:ind w:left="1170" w:hanging="420"/>
      </w:pPr>
      <w:rPr>
        <w:rFonts w:hint="default" w:ascii="Wingdings" w:hAnsi="Wingdings"/>
      </w:rPr>
    </w:lvl>
    <w:lvl w:ilvl="2" w:tentative="0">
      <w:start w:val="1"/>
      <w:numFmt w:val="bullet"/>
      <w:lvlText w:val=""/>
      <w:lvlJc w:val="left"/>
      <w:pPr>
        <w:ind w:left="1590" w:hanging="420"/>
      </w:pPr>
      <w:rPr>
        <w:rFonts w:hint="default" w:ascii="Wingdings" w:hAnsi="Wingdings"/>
      </w:rPr>
    </w:lvl>
    <w:lvl w:ilvl="3" w:tentative="0">
      <w:start w:val="1"/>
      <w:numFmt w:val="bullet"/>
      <w:lvlText w:val=""/>
      <w:lvlJc w:val="left"/>
      <w:pPr>
        <w:ind w:left="2010" w:hanging="420"/>
      </w:pPr>
      <w:rPr>
        <w:rFonts w:hint="default" w:ascii="Wingdings" w:hAnsi="Wingdings"/>
      </w:rPr>
    </w:lvl>
    <w:lvl w:ilvl="4" w:tentative="0">
      <w:start w:val="1"/>
      <w:numFmt w:val="bullet"/>
      <w:lvlText w:val=""/>
      <w:lvlJc w:val="left"/>
      <w:pPr>
        <w:ind w:left="2430" w:hanging="420"/>
      </w:pPr>
      <w:rPr>
        <w:rFonts w:hint="default" w:ascii="Wingdings" w:hAnsi="Wingdings"/>
      </w:rPr>
    </w:lvl>
    <w:lvl w:ilvl="5" w:tentative="0">
      <w:start w:val="1"/>
      <w:numFmt w:val="bullet"/>
      <w:lvlText w:val=""/>
      <w:lvlJc w:val="left"/>
      <w:pPr>
        <w:ind w:left="2850" w:hanging="420"/>
      </w:pPr>
      <w:rPr>
        <w:rFonts w:hint="default" w:ascii="Wingdings" w:hAnsi="Wingdings"/>
      </w:rPr>
    </w:lvl>
    <w:lvl w:ilvl="6" w:tentative="0">
      <w:start w:val="1"/>
      <w:numFmt w:val="bullet"/>
      <w:lvlText w:val=""/>
      <w:lvlJc w:val="left"/>
      <w:pPr>
        <w:ind w:left="3270" w:hanging="420"/>
      </w:pPr>
      <w:rPr>
        <w:rFonts w:hint="default" w:ascii="Wingdings" w:hAnsi="Wingdings"/>
      </w:rPr>
    </w:lvl>
    <w:lvl w:ilvl="7" w:tentative="0">
      <w:start w:val="1"/>
      <w:numFmt w:val="bullet"/>
      <w:lvlText w:val=""/>
      <w:lvlJc w:val="left"/>
      <w:pPr>
        <w:ind w:left="3690" w:hanging="420"/>
      </w:pPr>
      <w:rPr>
        <w:rFonts w:hint="default" w:ascii="Wingdings" w:hAnsi="Wingdings"/>
      </w:rPr>
    </w:lvl>
    <w:lvl w:ilvl="8" w:tentative="0">
      <w:start w:val="1"/>
      <w:numFmt w:val="bullet"/>
      <w:lvlText w:val=""/>
      <w:lvlJc w:val="left"/>
      <w:pPr>
        <w:ind w:left="4110" w:hanging="420"/>
      </w:pPr>
      <w:rPr>
        <w:rFonts w:hint="default" w:ascii="Wingdings" w:hAnsi="Wingdings"/>
      </w:rPr>
    </w:lvl>
  </w:abstractNum>
  <w:abstractNum w:abstractNumId="37">
    <w:nsid w:val="7BA131A5"/>
    <w:multiLevelType w:val="multilevel"/>
    <w:tmpl w:val="7BA131A5"/>
    <w:lvl w:ilvl="0" w:tentative="0">
      <w:start w:val="1"/>
      <w:numFmt w:val="decimal"/>
      <w:lvlText w:val="（%1）"/>
      <w:lvlJc w:val="left"/>
      <w:pPr>
        <w:tabs>
          <w:tab w:val="left" w:pos="420"/>
        </w:tabs>
        <w:ind w:left="420" w:hanging="420"/>
      </w:pPr>
      <w:rPr>
        <w:rFonts w:hint="default" w:ascii="Arial" w:hAnsi="Arial" w:cs="Arial"/>
        <w:b w:val="0"/>
      </w:rPr>
    </w:lvl>
    <w:lvl w:ilvl="1" w:tentative="0">
      <w:start w:val="2"/>
      <w:numFmt w:val="decimal"/>
      <w:lvlText w:val="%2．"/>
      <w:lvlJc w:val="left"/>
      <w:pPr>
        <w:tabs>
          <w:tab w:val="left" w:pos="780"/>
        </w:tabs>
        <w:ind w:left="780" w:hanging="360"/>
      </w:pPr>
      <w:rPr>
        <w:rFonts w:hint="default"/>
        <w:color w:val="000000"/>
        <w:sz w:val="24"/>
      </w:rPr>
    </w:lvl>
    <w:lvl w:ilvl="2" w:tentative="0">
      <w:start w:val="1"/>
      <w:numFmt w:val="decimal"/>
      <w:lvlText w:val="(%3)"/>
      <w:lvlJc w:val="left"/>
      <w:pPr>
        <w:tabs>
          <w:tab w:val="left" w:pos="1245"/>
        </w:tabs>
        <w:ind w:left="1245" w:hanging="405"/>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8">
    <w:nsid w:val="7CA92265"/>
    <w:multiLevelType w:val="multilevel"/>
    <w:tmpl w:val="7CA92265"/>
    <w:lvl w:ilvl="0" w:tentative="0">
      <w:start w:val="1"/>
      <w:numFmt w:val="none"/>
      <w:lvlText w:val="2"/>
      <w:lvlJc w:val="left"/>
      <w:pPr>
        <w:tabs>
          <w:tab w:val="left" w:pos="425"/>
        </w:tabs>
        <w:ind w:left="425" w:hanging="425"/>
      </w:pPr>
      <w:rPr>
        <w:rFonts w:hint="eastAsia"/>
      </w:rPr>
    </w:lvl>
    <w:lvl w:ilvl="1" w:tentative="0">
      <w:start w:val="1"/>
      <w:numFmt w:val="decimal"/>
      <w:lvlText w:val="%14.%2"/>
      <w:lvlJc w:val="left"/>
      <w:pPr>
        <w:tabs>
          <w:tab w:val="left" w:pos="992"/>
        </w:tabs>
        <w:ind w:left="992" w:hanging="567"/>
      </w:pPr>
      <w:rPr>
        <w:rFonts w:hint="eastAsia" w:ascii="楷体_GB2312" w:hAnsi="Arial" w:eastAsia="楷体_GB2312" w:cs="Arial"/>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num w:numId="1">
    <w:abstractNumId w:val="29"/>
  </w:num>
  <w:num w:numId="2">
    <w:abstractNumId w:val="0"/>
  </w:num>
  <w:num w:numId="3">
    <w:abstractNumId w:val="12"/>
  </w:num>
  <w:num w:numId="4">
    <w:abstractNumId w:val="25"/>
  </w:num>
  <w:num w:numId="5">
    <w:abstractNumId w:val="10"/>
  </w:num>
  <w:num w:numId="6">
    <w:abstractNumId w:val="23"/>
  </w:num>
  <w:num w:numId="7">
    <w:abstractNumId w:val="6"/>
  </w:num>
  <w:num w:numId="8">
    <w:abstractNumId w:val="7"/>
  </w:num>
  <w:num w:numId="9">
    <w:abstractNumId w:val="34"/>
  </w:num>
  <w:num w:numId="10">
    <w:abstractNumId w:val="11"/>
  </w:num>
  <w:num w:numId="11">
    <w:abstractNumId w:val="18"/>
  </w:num>
  <w:num w:numId="12">
    <w:abstractNumId w:val="35"/>
  </w:num>
  <w:num w:numId="13">
    <w:abstractNumId w:val="8"/>
  </w:num>
  <w:num w:numId="14">
    <w:abstractNumId w:val="31"/>
  </w:num>
  <w:num w:numId="15">
    <w:abstractNumId w:val="26"/>
  </w:num>
  <w:num w:numId="16">
    <w:abstractNumId w:val="9"/>
  </w:num>
  <w:num w:numId="17">
    <w:abstractNumId w:val="33"/>
  </w:num>
  <w:num w:numId="18">
    <w:abstractNumId w:val="19"/>
  </w:num>
  <w:num w:numId="19">
    <w:abstractNumId w:val="32"/>
  </w:num>
  <w:num w:numId="20">
    <w:abstractNumId w:val="3"/>
  </w:num>
  <w:num w:numId="21">
    <w:abstractNumId w:val="17"/>
  </w:num>
  <w:num w:numId="22">
    <w:abstractNumId w:val="28"/>
  </w:num>
  <w:num w:numId="23">
    <w:abstractNumId w:val="16"/>
  </w:num>
  <w:num w:numId="24">
    <w:abstractNumId w:val="15"/>
  </w:num>
  <w:num w:numId="25">
    <w:abstractNumId w:val="22"/>
  </w:num>
  <w:num w:numId="26">
    <w:abstractNumId w:val="37"/>
  </w:num>
  <w:num w:numId="27">
    <w:abstractNumId w:val="27"/>
  </w:num>
  <w:num w:numId="28">
    <w:abstractNumId w:val="38"/>
  </w:num>
  <w:num w:numId="29">
    <w:abstractNumId w:val="5"/>
  </w:num>
  <w:num w:numId="30">
    <w:abstractNumId w:val="4"/>
  </w:num>
  <w:num w:numId="31">
    <w:abstractNumId w:val="24"/>
  </w:num>
  <w:num w:numId="32">
    <w:abstractNumId w:val="14"/>
  </w:num>
  <w:num w:numId="33">
    <w:abstractNumId w:val="21"/>
  </w:num>
  <w:num w:numId="34">
    <w:abstractNumId w:val="20"/>
  </w:num>
  <w:num w:numId="35">
    <w:abstractNumId w:val="2"/>
  </w:num>
  <w:num w:numId="36">
    <w:abstractNumId w:val="30"/>
  </w:num>
  <w:num w:numId="37">
    <w:abstractNumId w:val="36"/>
  </w:num>
  <w:num w:numId="38">
    <w:abstractNumId w:val="1"/>
  </w:num>
  <w:num w:numId="3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263E"/>
    <w:rsid w:val="000009F5"/>
    <w:rsid w:val="00001380"/>
    <w:rsid w:val="00002CB1"/>
    <w:rsid w:val="0000340D"/>
    <w:rsid w:val="00003A66"/>
    <w:rsid w:val="000053C0"/>
    <w:rsid w:val="000066EF"/>
    <w:rsid w:val="00011067"/>
    <w:rsid w:val="00014C8E"/>
    <w:rsid w:val="00015251"/>
    <w:rsid w:val="000157E0"/>
    <w:rsid w:val="00016969"/>
    <w:rsid w:val="0002377E"/>
    <w:rsid w:val="000237A7"/>
    <w:rsid w:val="000238E0"/>
    <w:rsid w:val="00023A93"/>
    <w:rsid w:val="00025CDD"/>
    <w:rsid w:val="00026C3B"/>
    <w:rsid w:val="00030937"/>
    <w:rsid w:val="000345EB"/>
    <w:rsid w:val="00034BF8"/>
    <w:rsid w:val="00035750"/>
    <w:rsid w:val="00035CCB"/>
    <w:rsid w:val="00037CE4"/>
    <w:rsid w:val="00040402"/>
    <w:rsid w:val="00040B2A"/>
    <w:rsid w:val="00041329"/>
    <w:rsid w:val="00042D61"/>
    <w:rsid w:val="00042E2F"/>
    <w:rsid w:val="000502BE"/>
    <w:rsid w:val="0005052D"/>
    <w:rsid w:val="000506B4"/>
    <w:rsid w:val="000515F3"/>
    <w:rsid w:val="00052EC4"/>
    <w:rsid w:val="000548DE"/>
    <w:rsid w:val="00054D5C"/>
    <w:rsid w:val="00054FC6"/>
    <w:rsid w:val="000560AE"/>
    <w:rsid w:val="000576B3"/>
    <w:rsid w:val="00057B6A"/>
    <w:rsid w:val="00057EB8"/>
    <w:rsid w:val="00060505"/>
    <w:rsid w:val="000611E3"/>
    <w:rsid w:val="000622C1"/>
    <w:rsid w:val="0006286C"/>
    <w:rsid w:val="00063E50"/>
    <w:rsid w:val="0006448F"/>
    <w:rsid w:val="00070512"/>
    <w:rsid w:val="0007075E"/>
    <w:rsid w:val="000722C5"/>
    <w:rsid w:val="00072310"/>
    <w:rsid w:val="0007247B"/>
    <w:rsid w:val="00073304"/>
    <w:rsid w:val="00074B78"/>
    <w:rsid w:val="0008019F"/>
    <w:rsid w:val="000803DE"/>
    <w:rsid w:val="00081E28"/>
    <w:rsid w:val="0008207A"/>
    <w:rsid w:val="00082463"/>
    <w:rsid w:val="000832C8"/>
    <w:rsid w:val="00084520"/>
    <w:rsid w:val="000860E6"/>
    <w:rsid w:val="000861D1"/>
    <w:rsid w:val="00087F08"/>
    <w:rsid w:val="000919EA"/>
    <w:rsid w:val="000930EA"/>
    <w:rsid w:val="00094254"/>
    <w:rsid w:val="00094C01"/>
    <w:rsid w:val="00096787"/>
    <w:rsid w:val="00096ABD"/>
    <w:rsid w:val="00096DF6"/>
    <w:rsid w:val="000A15D3"/>
    <w:rsid w:val="000A2281"/>
    <w:rsid w:val="000A328D"/>
    <w:rsid w:val="000A438C"/>
    <w:rsid w:val="000A4840"/>
    <w:rsid w:val="000A4DF8"/>
    <w:rsid w:val="000A5466"/>
    <w:rsid w:val="000A5ADF"/>
    <w:rsid w:val="000A63F5"/>
    <w:rsid w:val="000A7842"/>
    <w:rsid w:val="000B09D6"/>
    <w:rsid w:val="000B1182"/>
    <w:rsid w:val="000B1199"/>
    <w:rsid w:val="000B1324"/>
    <w:rsid w:val="000B36A7"/>
    <w:rsid w:val="000B5DD6"/>
    <w:rsid w:val="000B5F52"/>
    <w:rsid w:val="000B5FCA"/>
    <w:rsid w:val="000C4250"/>
    <w:rsid w:val="000C6AA2"/>
    <w:rsid w:val="000C6DE7"/>
    <w:rsid w:val="000C7809"/>
    <w:rsid w:val="000C7CBF"/>
    <w:rsid w:val="000D10E2"/>
    <w:rsid w:val="000D1EB7"/>
    <w:rsid w:val="000D2AC5"/>
    <w:rsid w:val="000D73D9"/>
    <w:rsid w:val="000E10DB"/>
    <w:rsid w:val="000E2A62"/>
    <w:rsid w:val="000E4167"/>
    <w:rsid w:val="000E5251"/>
    <w:rsid w:val="000E5B3B"/>
    <w:rsid w:val="000E6B70"/>
    <w:rsid w:val="000E75FB"/>
    <w:rsid w:val="000F0294"/>
    <w:rsid w:val="000F2728"/>
    <w:rsid w:val="000F3619"/>
    <w:rsid w:val="000F79A4"/>
    <w:rsid w:val="000F7AE5"/>
    <w:rsid w:val="000F7C73"/>
    <w:rsid w:val="00101644"/>
    <w:rsid w:val="00101AC0"/>
    <w:rsid w:val="001020F4"/>
    <w:rsid w:val="001030C6"/>
    <w:rsid w:val="0010568D"/>
    <w:rsid w:val="00105B27"/>
    <w:rsid w:val="001064A6"/>
    <w:rsid w:val="0010684A"/>
    <w:rsid w:val="00111B30"/>
    <w:rsid w:val="00112030"/>
    <w:rsid w:val="0011374A"/>
    <w:rsid w:val="001156FE"/>
    <w:rsid w:val="00115D70"/>
    <w:rsid w:val="0012151D"/>
    <w:rsid w:val="00123BAD"/>
    <w:rsid w:val="00124C79"/>
    <w:rsid w:val="001263CA"/>
    <w:rsid w:val="001266BF"/>
    <w:rsid w:val="00130AF0"/>
    <w:rsid w:val="00131E83"/>
    <w:rsid w:val="0013221F"/>
    <w:rsid w:val="001325EF"/>
    <w:rsid w:val="00132C17"/>
    <w:rsid w:val="00133211"/>
    <w:rsid w:val="00134351"/>
    <w:rsid w:val="0013760C"/>
    <w:rsid w:val="001377FC"/>
    <w:rsid w:val="00137F40"/>
    <w:rsid w:val="00140223"/>
    <w:rsid w:val="00141394"/>
    <w:rsid w:val="00143117"/>
    <w:rsid w:val="00143171"/>
    <w:rsid w:val="0014546D"/>
    <w:rsid w:val="00145E7D"/>
    <w:rsid w:val="00146114"/>
    <w:rsid w:val="0014666B"/>
    <w:rsid w:val="0014791A"/>
    <w:rsid w:val="00150AA7"/>
    <w:rsid w:val="001528EB"/>
    <w:rsid w:val="00152DC3"/>
    <w:rsid w:val="00153D6B"/>
    <w:rsid w:val="00155310"/>
    <w:rsid w:val="001555B7"/>
    <w:rsid w:val="00156F66"/>
    <w:rsid w:val="00160233"/>
    <w:rsid w:val="0016030B"/>
    <w:rsid w:val="00161CFC"/>
    <w:rsid w:val="00161EA2"/>
    <w:rsid w:val="00162A58"/>
    <w:rsid w:val="00162E8F"/>
    <w:rsid w:val="00163C20"/>
    <w:rsid w:val="001671DC"/>
    <w:rsid w:val="00167709"/>
    <w:rsid w:val="0016795B"/>
    <w:rsid w:val="0017187B"/>
    <w:rsid w:val="0017249A"/>
    <w:rsid w:val="00174EB3"/>
    <w:rsid w:val="00175520"/>
    <w:rsid w:val="0017653A"/>
    <w:rsid w:val="00180634"/>
    <w:rsid w:val="00183F0E"/>
    <w:rsid w:val="00184846"/>
    <w:rsid w:val="0018648D"/>
    <w:rsid w:val="00186674"/>
    <w:rsid w:val="001866ED"/>
    <w:rsid w:val="00186925"/>
    <w:rsid w:val="00186E54"/>
    <w:rsid w:val="00187CAD"/>
    <w:rsid w:val="00193B17"/>
    <w:rsid w:val="0019491C"/>
    <w:rsid w:val="0019588E"/>
    <w:rsid w:val="00195C4F"/>
    <w:rsid w:val="00197748"/>
    <w:rsid w:val="00197786"/>
    <w:rsid w:val="001A1105"/>
    <w:rsid w:val="001A370B"/>
    <w:rsid w:val="001A6C5A"/>
    <w:rsid w:val="001A72E8"/>
    <w:rsid w:val="001B1B9B"/>
    <w:rsid w:val="001B2696"/>
    <w:rsid w:val="001B28CB"/>
    <w:rsid w:val="001B45D2"/>
    <w:rsid w:val="001B5B34"/>
    <w:rsid w:val="001B742F"/>
    <w:rsid w:val="001C0431"/>
    <w:rsid w:val="001C239E"/>
    <w:rsid w:val="001C5EFC"/>
    <w:rsid w:val="001D11DE"/>
    <w:rsid w:val="001D2CF5"/>
    <w:rsid w:val="001D44ED"/>
    <w:rsid w:val="001D63C0"/>
    <w:rsid w:val="001D6B9A"/>
    <w:rsid w:val="001D76AB"/>
    <w:rsid w:val="001E013B"/>
    <w:rsid w:val="001E021C"/>
    <w:rsid w:val="001E2D98"/>
    <w:rsid w:val="001E376F"/>
    <w:rsid w:val="001E726C"/>
    <w:rsid w:val="001F0C4F"/>
    <w:rsid w:val="001F24A5"/>
    <w:rsid w:val="001F362D"/>
    <w:rsid w:val="001F3B6E"/>
    <w:rsid w:val="001F430D"/>
    <w:rsid w:val="001F4819"/>
    <w:rsid w:val="001F56A1"/>
    <w:rsid w:val="001F69BE"/>
    <w:rsid w:val="00200854"/>
    <w:rsid w:val="00201E84"/>
    <w:rsid w:val="00201FC4"/>
    <w:rsid w:val="00203139"/>
    <w:rsid w:val="00205213"/>
    <w:rsid w:val="00206995"/>
    <w:rsid w:val="00211497"/>
    <w:rsid w:val="00212117"/>
    <w:rsid w:val="00214475"/>
    <w:rsid w:val="002157B0"/>
    <w:rsid w:val="0021689F"/>
    <w:rsid w:val="00216E04"/>
    <w:rsid w:val="00220A8C"/>
    <w:rsid w:val="00221867"/>
    <w:rsid w:val="002225DC"/>
    <w:rsid w:val="002241B4"/>
    <w:rsid w:val="00224B8F"/>
    <w:rsid w:val="00225F76"/>
    <w:rsid w:val="00226492"/>
    <w:rsid w:val="00227A5D"/>
    <w:rsid w:val="00230BEC"/>
    <w:rsid w:val="00231563"/>
    <w:rsid w:val="00234601"/>
    <w:rsid w:val="002352A0"/>
    <w:rsid w:val="002357FB"/>
    <w:rsid w:val="002358F4"/>
    <w:rsid w:val="00240B98"/>
    <w:rsid w:val="00240C65"/>
    <w:rsid w:val="00241F03"/>
    <w:rsid w:val="00242271"/>
    <w:rsid w:val="00242B3E"/>
    <w:rsid w:val="00243AC5"/>
    <w:rsid w:val="00243B0E"/>
    <w:rsid w:val="00244F16"/>
    <w:rsid w:val="002459EF"/>
    <w:rsid w:val="0024772A"/>
    <w:rsid w:val="00250036"/>
    <w:rsid w:val="00250B8C"/>
    <w:rsid w:val="00251A22"/>
    <w:rsid w:val="0025244C"/>
    <w:rsid w:val="0025307D"/>
    <w:rsid w:val="00254330"/>
    <w:rsid w:val="00254804"/>
    <w:rsid w:val="00254A99"/>
    <w:rsid w:val="00256997"/>
    <w:rsid w:val="00260378"/>
    <w:rsid w:val="0026432A"/>
    <w:rsid w:val="002652D9"/>
    <w:rsid w:val="002659A6"/>
    <w:rsid w:val="0026651F"/>
    <w:rsid w:val="00266CE8"/>
    <w:rsid w:val="0026707D"/>
    <w:rsid w:val="002700D2"/>
    <w:rsid w:val="00272CB0"/>
    <w:rsid w:val="002740B9"/>
    <w:rsid w:val="00275C95"/>
    <w:rsid w:val="002770B7"/>
    <w:rsid w:val="00277460"/>
    <w:rsid w:val="00280A65"/>
    <w:rsid w:val="00280FEF"/>
    <w:rsid w:val="0028109A"/>
    <w:rsid w:val="00281DDC"/>
    <w:rsid w:val="00281FB8"/>
    <w:rsid w:val="00282FD5"/>
    <w:rsid w:val="00286DD8"/>
    <w:rsid w:val="0029043C"/>
    <w:rsid w:val="00291B3B"/>
    <w:rsid w:val="00291B72"/>
    <w:rsid w:val="00291D32"/>
    <w:rsid w:val="00292455"/>
    <w:rsid w:val="00292814"/>
    <w:rsid w:val="0029417F"/>
    <w:rsid w:val="00294454"/>
    <w:rsid w:val="00295F60"/>
    <w:rsid w:val="002A051B"/>
    <w:rsid w:val="002A1FD1"/>
    <w:rsid w:val="002A6893"/>
    <w:rsid w:val="002A6BD5"/>
    <w:rsid w:val="002A737A"/>
    <w:rsid w:val="002B038E"/>
    <w:rsid w:val="002B1C31"/>
    <w:rsid w:val="002B2154"/>
    <w:rsid w:val="002B41F4"/>
    <w:rsid w:val="002B4A6A"/>
    <w:rsid w:val="002B4D23"/>
    <w:rsid w:val="002B7A24"/>
    <w:rsid w:val="002C26CC"/>
    <w:rsid w:val="002C3295"/>
    <w:rsid w:val="002C3DFD"/>
    <w:rsid w:val="002C6AE5"/>
    <w:rsid w:val="002C7940"/>
    <w:rsid w:val="002D1C02"/>
    <w:rsid w:val="002D32F2"/>
    <w:rsid w:val="002D3563"/>
    <w:rsid w:val="002D3EB6"/>
    <w:rsid w:val="002D4167"/>
    <w:rsid w:val="002D66FC"/>
    <w:rsid w:val="002D6CCA"/>
    <w:rsid w:val="002E09BA"/>
    <w:rsid w:val="002E1F1D"/>
    <w:rsid w:val="002E3588"/>
    <w:rsid w:val="002E414F"/>
    <w:rsid w:val="002E4D98"/>
    <w:rsid w:val="002E4FC2"/>
    <w:rsid w:val="002E621E"/>
    <w:rsid w:val="002E7FC6"/>
    <w:rsid w:val="002F2128"/>
    <w:rsid w:val="002F2CC3"/>
    <w:rsid w:val="002F3D0D"/>
    <w:rsid w:val="002F4EE5"/>
    <w:rsid w:val="002F6F42"/>
    <w:rsid w:val="0030021B"/>
    <w:rsid w:val="003013D0"/>
    <w:rsid w:val="00301699"/>
    <w:rsid w:val="00304B6A"/>
    <w:rsid w:val="003051A4"/>
    <w:rsid w:val="00306C91"/>
    <w:rsid w:val="003071DC"/>
    <w:rsid w:val="00307EEB"/>
    <w:rsid w:val="00307F4F"/>
    <w:rsid w:val="00310B99"/>
    <w:rsid w:val="00311CAC"/>
    <w:rsid w:val="0031243C"/>
    <w:rsid w:val="00313693"/>
    <w:rsid w:val="00314DC2"/>
    <w:rsid w:val="00315C51"/>
    <w:rsid w:val="00316675"/>
    <w:rsid w:val="00316A41"/>
    <w:rsid w:val="0032241D"/>
    <w:rsid w:val="003227D9"/>
    <w:rsid w:val="00325D8E"/>
    <w:rsid w:val="0032781A"/>
    <w:rsid w:val="00327865"/>
    <w:rsid w:val="003279EB"/>
    <w:rsid w:val="00331019"/>
    <w:rsid w:val="003316FD"/>
    <w:rsid w:val="00331756"/>
    <w:rsid w:val="00333B48"/>
    <w:rsid w:val="00335FD1"/>
    <w:rsid w:val="0033603E"/>
    <w:rsid w:val="00341BF5"/>
    <w:rsid w:val="0034506F"/>
    <w:rsid w:val="00346D10"/>
    <w:rsid w:val="003475ED"/>
    <w:rsid w:val="00347A0A"/>
    <w:rsid w:val="00350E2E"/>
    <w:rsid w:val="0035169C"/>
    <w:rsid w:val="003527E3"/>
    <w:rsid w:val="003564E1"/>
    <w:rsid w:val="00356D20"/>
    <w:rsid w:val="00360BC0"/>
    <w:rsid w:val="00361E7B"/>
    <w:rsid w:val="00362A3D"/>
    <w:rsid w:val="003676A9"/>
    <w:rsid w:val="003706F7"/>
    <w:rsid w:val="00371F2C"/>
    <w:rsid w:val="00372579"/>
    <w:rsid w:val="00372732"/>
    <w:rsid w:val="00372A07"/>
    <w:rsid w:val="00372CDC"/>
    <w:rsid w:val="00372D8B"/>
    <w:rsid w:val="003752A2"/>
    <w:rsid w:val="0037534C"/>
    <w:rsid w:val="00375AEB"/>
    <w:rsid w:val="0037609C"/>
    <w:rsid w:val="003802B8"/>
    <w:rsid w:val="00380DBC"/>
    <w:rsid w:val="00383814"/>
    <w:rsid w:val="00383844"/>
    <w:rsid w:val="00384395"/>
    <w:rsid w:val="00384768"/>
    <w:rsid w:val="0038509B"/>
    <w:rsid w:val="00385F49"/>
    <w:rsid w:val="00390522"/>
    <w:rsid w:val="00390A40"/>
    <w:rsid w:val="00391BB8"/>
    <w:rsid w:val="00394F4B"/>
    <w:rsid w:val="003A0DB0"/>
    <w:rsid w:val="003A1622"/>
    <w:rsid w:val="003A1B28"/>
    <w:rsid w:val="003A445D"/>
    <w:rsid w:val="003A4479"/>
    <w:rsid w:val="003A5399"/>
    <w:rsid w:val="003A5B10"/>
    <w:rsid w:val="003A6AC6"/>
    <w:rsid w:val="003A6F84"/>
    <w:rsid w:val="003B0436"/>
    <w:rsid w:val="003B0B28"/>
    <w:rsid w:val="003B134F"/>
    <w:rsid w:val="003B1A0C"/>
    <w:rsid w:val="003B2058"/>
    <w:rsid w:val="003B4F56"/>
    <w:rsid w:val="003B5792"/>
    <w:rsid w:val="003B5C88"/>
    <w:rsid w:val="003B7911"/>
    <w:rsid w:val="003C1C86"/>
    <w:rsid w:val="003C22CE"/>
    <w:rsid w:val="003C527B"/>
    <w:rsid w:val="003C5441"/>
    <w:rsid w:val="003C5F9D"/>
    <w:rsid w:val="003C6940"/>
    <w:rsid w:val="003C7017"/>
    <w:rsid w:val="003C755F"/>
    <w:rsid w:val="003C7F0C"/>
    <w:rsid w:val="003D06B1"/>
    <w:rsid w:val="003D0900"/>
    <w:rsid w:val="003D1EC8"/>
    <w:rsid w:val="003D731B"/>
    <w:rsid w:val="003D7CE8"/>
    <w:rsid w:val="003E1388"/>
    <w:rsid w:val="003E1F44"/>
    <w:rsid w:val="003E25BE"/>
    <w:rsid w:val="003E31FB"/>
    <w:rsid w:val="003E3905"/>
    <w:rsid w:val="003E3CFF"/>
    <w:rsid w:val="003E50DF"/>
    <w:rsid w:val="003E63A9"/>
    <w:rsid w:val="003E7E19"/>
    <w:rsid w:val="003F1618"/>
    <w:rsid w:val="003F1DEC"/>
    <w:rsid w:val="003F21CF"/>
    <w:rsid w:val="003F279A"/>
    <w:rsid w:val="003F3104"/>
    <w:rsid w:val="003F3536"/>
    <w:rsid w:val="003F3618"/>
    <w:rsid w:val="003F46CF"/>
    <w:rsid w:val="003F5868"/>
    <w:rsid w:val="003F6C73"/>
    <w:rsid w:val="00401278"/>
    <w:rsid w:val="0040168C"/>
    <w:rsid w:val="00403D22"/>
    <w:rsid w:val="0040468C"/>
    <w:rsid w:val="00406893"/>
    <w:rsid w:val="00410D1B"/>
    <w:rsid w:val="00413219"/>
    <w:rsid w:val="00413B2D"/>
    <w:rsid w:val="00415935"/>
    <w:rsid w:val="00415D57"/>
    <w:rsid w:val="004179AC"/>
    <w:rsid w:val="00420438"/>
    <w:rsid w:val="00420A03"/>
    <w:rsid w:val="0042103B"/>
    <w:rsid w:val="00421DA6"/>
    <w:rsid w:val="0042446A"/>
    <w:rsid w:val="00424BCF"/>
    <w:rsid w:val="00425EA7"/>
    <w:rsid w:val="00426C0F"/>
    <w:rsid w:val="00426CD8"/>
    <w:rsid w:val="00426F87"/>
    <w:rsid w:val="0042780F"/>
    <w:rsid w:val="0043374D"/>
    <w:rsid w:val="00434D28"/>
    <w:rsid w:val="00437627"/>
    <w:rsid w:val="00440BA6"/>
    <w:rsid w:val="00440CB1"/>
    <w:rsid w:val="0044172D"/>
    <w:rsid w:val="00442574"/>
    <w:rsid w:val="00444956"/>
    <w:rsid w:val="0044541F"/>
    <w:rsid w:val="00446780"/>
    <w:rsid w:val="00446A8C"/>
    <w:rsid w:val="00447DCA"/>
    <w:rsid w:val="00451F48"/>
    <w:rsid w:val="00453521"/>
    <w:rsid w:val="004552D9"/>
    <w:rsid w:val="00463512"/>
    <w:rsid w:val="004652EE"/>
    <w:rsid w:val="00465E8E"/>
    <w:rsid w:val="00466019"/>
    <w:rsid w:val="00467509"/>
    <w:rsid w:val="004718DC"/>
    <w:rsid w:val="00472C88"/>
    <w:rsid w:val="00475851"/>
    <w:rsid w:val="004761D2"/>
    <w:rsid w:val="00476775"/>
    <w:rsid w:val="00480952"/>
    <w:rsid w:val="004819A1"/>
    <w:rsid w:val="00481A01"/>
    <w:rsid w:val="00481B37"/>
    <w:rsid w:val="00485076"/>
    <w:rsid w:val="00486DDE"/>
    <w:rsid w:val="0048774A"/>
    <w:rsid w:val="00487C5F"/>
    <w:rsid w:val="00487FE2"/>
    <w:rsid w:val="00490DE7"/>
    <w:rsid w:val="00493995"/>
    <w:rsid w:val="004947F8"/>
    <w:rsid w:val="00496FF4"/>
    <w:rsid w:val="00497DD5"/>
    <w:rsid w:val="004A0195"/>
    <w:rsid w:val="004A081D"/>
    <w:rsid w:val="004A1DBF"/>
    <w:rsid w:val="004A26F6"/>
    <w:rsid w:val="004A2722"/>
    <w:rsid w:val="004A5B46"/>
    <w:rsid w:val="004A622C"/>
    <w:rsid w:val="004A7735"/>
    <w:rsid w:val="004B2188"/>
    <w:rsid w:val="004B2461"/>
    <w:rsid w:val="004B27CE"/>
    <w:rsid w:val="004B481A"/>
    <w:rsid w:val="004B6002"/>
    <w:rsid w:val="004B650C"/>
    <w:rsid w:val="004B6E02"/>
    <w:rsid w:val="004C1BB5"/>
    <w:rsid w:val="004C40CD"/>
    <w:rsid w:val="004C4CF2"/>
    <w:rsid w:val="004C6CB1"/>
    <w:rsid w:val="004D27C2"/>
    <w:rsid w:val="004D2C24"/>
    <w:rsid w:val="004D58A7"/>
    <w:rsid w:val="004D61B2"/>
    <w:rsid w:val="004D6E68"/>
    <w:rsid w:val="004D762F"/>
    <w:rsid w:val="004D7691"/>
    <w:rsid w:val="004D780C"/>
    <w:rsid w:val="004E0640"/>
    <w:rsid w:val="004E12C3"/>
    <w:rsid w:val="004E2A89"/>
    <w:rsid w:val="004E662E"/>
    <w:rsid w:val="004E7A7B"/>
    <w:rsid w:val="004E7F3D"/>
    <w:rsid w:val="004F0A29"/>
    <w:rsid w:val="004F0D7A"/>
    <w:rsid w:val="004F2119"/>
    <w:rsid w:val="004F266F"/>
    <w:rsid w:val="004F2956"/>
    <w:rsid w:val="004F2B35"/>
    <w:rsid w:val="004F31EF"/>
    <w:rsid w:val="004F413C"/>
    <w:rsid w:val="004F4CB1"/>
    <w:rsid w:val="004F4F3B"/>
    <w:rsid w:val="004F5B81"/>
    <w:rsid w:val="004F608A"/>
    <w:rsid w:val="004F6D20"/>
    <w:rsid w:val="004F70F5"/>
    <w:rsid w:val="004F7551"/>
    <w:rsid w:val="004F7DA3"/>
    <w:rsid w:val="00501542"/>
    <w:rsid w:val="00501E25"/>
    <w:rsid w:val="005022C1"/>
    <w:rsid w:val="00504C8A"/>
    <w:rsid w:val="00507C38"/>
    <w:rsid w:val="00507DE6"/>
    <w:rsid w:val="00511C54"/>
    <w:rsid w:val="005120A7"/>
    <w:rsid w:val="00513E50"/>
    <w:rsid w:val="0051489B"/>
    <w:rsid w:val="005155A9"/>
    <w:rsid w:val="00522FE5"/>
    <w:rsid w:val="00523418"/>
    <w:rsid w:val="00523CF5"/>
    <w:rsid w:val="005252AC"/>
    <w:rsid w:val="00526AE5"/>
    <w:rsid w:val="00527082"/>
    <w:rsid w:val="00532116"/>
    <w:rsid w:val="00533354"/>
    <w:rsid w:val="0053581D"/>
    <w:rsid w:val="005361A6"/>
    <w:rsid w:val="005365A4"/>
    <w:rsid w:val="0054033B"/>
    <w:rsid w:val="00541069"/>
    <w:rsid w:val="00541CCF"/>
    <w:rsid w:val="00541FA4"/>
    <w:rsid w:val="00542A9F"/>
    <w:rsid w:val="00545D1F"/>
    <w:rsid w:val="00546C32"/>
    <w:rsid w:val="00550294"/>
    <w:rsid w:val="00550A9D"/>
    <w:rsid w:val="0055146E"/>
    <w:rsid w:val="00552365"/>
    <w:rsid w:val="00552790"/>
    <w:rsid w:val="005544F5"/>
    <w:rsid w:val="00554FA5"/>
    <w:rsid w:val="00561A39"/>
    <w:rsid w:val="00561CC7"/>
    <w:rsid w:val="00562458"/>
    <w:rsid w:val="005639E2"/>
    <w:rsid w:val="00563E31"/>
    <w:rsid w:val="005649F0"/>
    <w:rsid w:val="00567387"/>
    <w:rsid w:val="00570197"/>
    <w:rsid w:val="00571B61"/>
    <w:rsid w:val="00571C87"/>
    <w:rsid w:val="0057403F"/>
    <w:rsid w:val="0058005A"/>
    <w:rsid w:val="00581B85"/>
    <w:rsid w:val="00581C75"/>
    <w:rsid w:val="0058232E"/>
    <w:rsid w:val="0058391D"/>
    <w:rsid w:val="00585AE0"/>
    <w:rsid w:val="0058769D"/>
    <w:rsid w:val="00590404"/>
    <w:rsid w:val="00592D16"/>
    <w:rsid w:val="0059433D"/>
    <w:rsid w:val="00594608"/>
    <w:rsid w:val="00594766"/>
    <w:rsid w:val="0059698F"/>
    <w:rsid w:val="00597270"/>
    <w:rsid w:val="005977E7"/>
    <w:rsid w:val="005979DB"/>
    <w:rsid w:val="00597F76"/>
    <w:rsid w:val="005A0979"/>
    <w:rsid w:val="005A0C07"/>
    <w:rsid w:val="005A112D"/>
    <w:rsid w:val="005A2579"/>
    <w:rsid w:val="005A5577"/>
    <w:rsid w:val="005A5BF6"/>
    <w:rsid w:val="005B0109"/>
    <w:rsid w:val="005B3421"/>
    <w:rsid w:val="005B645C"/>
    <w:rsid w:val="005C0E93"/>
    <w:rsid w:val="005C309B"/>
    <w:rsid w:val="005C38A1"/>
    <w:rsid w:val="005C3E22"/>
    <w:rsid w:val="005C5B70"/>
    <w:rsid w:val="005D1AE8"/>
    <w:rsid w:val="005D2FE3"/>
    <w:rsid w:val="005D3C90"/>
    <w:rsid w:val="005D4120"/>
    <w:rsid w:val="005D4F28"/>
    <w:rsid w:val="005E052F"/>
    <w:rsid w:val="005E2264"/>
    <w:rsid w:val="005E26C0"/>
    <w:rsid w:val="005E34EA"/>
    <w:rsid w:val="005E3D2F"/>
    <w:rsid w:val="005E7B5F"/>
    <w:rsid w:val="005F11D1"/>
    <w:rsid w:val="005F3416"/>
    <w:rsid w:val="005F3A7B"/>
    <w:rsid w:val="005F6C3A"/>
    <w:rsid w:val="00600E94"/>
    <w:rsid w:val="00603948"/>
    <w:rsid w:val="00603D90"/>
    <w:rsid w:val="0060545D"/>
    <w:rsid w:val="00605A96"/>
    <w:rsid w:val="00606128"/>
    <w:rsid w:val="0060671F"/>
    <w:rsid w:val="00606BB7"/>
    <w:rsid w:val="00607D7E"/>
    <w:rsid w:val="006100AD"/>
    <w:rsid w:val="00614D1D"/>
    <w:rsid w:val="00616EFD"/>
    <w:rsid w:val="00617B4C"/>
    <w:rsid w:val="00621A4A"/>
    <w:rsid w:val="00623496"/>
    <w:rsid w:val="00623903"/>
    <w:rsid w:val="00623F48"/>
    <w:rsid w:val="00624E26"/>
    <w:rsid w:val="0062709F"/>
    <w:rsid w:val="006278C8"/>
    <w:rsid w:val="0063588F"/>
    <w:rsid w:val="00636DB2"/>
    <w:rsid w:val="00637038"/>
    <w:rsid w:val="00637722"/>
    <w:rsid w:val="00640097"/>
    <w:rsid w:val="006407A3"/>
    <w:rsid w:val="0064329B"/>
    <w:rsid w:val="00643DDD"/>
    <w:rsid w:val="00645BF8"/>
    <w:rsid w:val="00645DDE"/>
    <w:rsid w:val="00651281"/>
    <w:rsid w:val="006512AE"/>
    <w:rsid w:val="00654262"/>
    <w:rsid w:val="00655C5B"/>
    <w:rsid w:val="00655DC1"/>
    <w:rsid w:val="00657198"/>
    <w:rsid w:val="006571C6"/>
    <w:rsid w:val="0066150B"/>
    <w:rsid w:val="0066316C"/>
    <w:rsid w:val="0066320E"/>
    <w:rsid w:val="00663BF2"/>
    <w:rsid w:val="00664494"/>
    <w:rsid w:val="00665ED7"/>
    <w:rsid w:val="0066606C"/>
    <w:rsid w:val="00666E7D"/>
    <w:rsid w:val="006676C2"/>
    <w:rsid w:val="00667822"/>
    <w:rsid w:val="00667AD5"/>
    <w:rsid w:val="006705A8"/>
    <w:rsid w:val="00671E40"/>
    <w:rsid w:val="00671EC6"/>
    <w:rsid w:val="0067294F"/>
    <w:rsid w:val="00675441"/>
    <w:rsid w:val="0068029B"/>
    <w:rsid w:val="00680E45"/>
    <w:rsid w:val="0068535D"/>
    <w:rsid w:val="006913FE"/>
    <w:rsid w:val="00691E37"/>
    <w:rsid w:val="006963B7"/>
    <w:rsid w:val="00696B42"/>
    <w:rsid w:val="006A1419"/>
    <w:rsid w:val="006A2A5D"/>
    <w:rsid w:val="006A2F2D"/>
    <w:rsid w:val="006A4A7F"/>
    <w:rsid w:val="006A4E5B"/>
    <w:rsid w:val="006A74B4"/>
    <w:rsid w:val="006A7532"/>
    <w:rsid w:val="006B0997"/>
    <w:rsid w:val="006B0EB7"/>
    <w:rsid w:val="006B21D3"/>
    <w:rsid w:val="006B5AF7"/>
    <w:rsid w:val="006B6194"/>
    <w:rsid w:val="006B6F4A"/>
    <w:rsid w:val="006B7598"/>
    <w:rsid w:val="006B77ED"/>
    <w:rsid w:val="006C0444"/>
    <w:rsid w:val="006C1341"/>
    <w:rsid w:val="006C212A"/>
    <w:rsid w:val="006C35C3"/>
    <w:rsid w:val="006C3B14"/>
    <w:rsid w:val="006C4503"/>
    <w:rsid w:val="006C4BD0"/>
    <w:rsid w:val="006C57D7"/>
    <w:rsid w:val="006C722E"/>
    <w:rsid w:val="006D2661"/>
    <w:rsid w:val="006D2C17"/>
    <w:rsid w:val="006D51E6"/>
    <w:rsid w:val="006D53A3"/>
    <w:rsid w:val="006D5E5C"/>
    <w:rsid w:val="006E1F39"/>
    <w:rsid w:val="006E21F1"/>
    <w:rsid w:val="006E33B6"/>
    <w:rsid w:val="006E4784"/>
    <w:rsid w:val="006E649A"/>
    <w:rsid w:val="006E6BF2"/>
    <w:rsid w:val="006E7AA4"/>
    <w:rsid w:val="006E7DFA"/>
    <w:rsid w:val="006F005C"/>
    <w:rsid w:val="006F0AFD"/>
    <w:rsid w:val="006F4F33"/>
    <w:rsid w:val="006F5886"/>
    <w:rsid w:val="006F6520"/>
    <w:rsid w:val="006F6AAF"/>
    <w:rsid w:val="00707244"/>
    <w:rsid w:val="0070725E"/>
    <w:rsid w:val="007102F3"/>
    <w:rsid w:val="007103F1"/>
    <w:rsid w:val="00711044"/>
    <w:rsid w:val="007123DF"/>
    <w:rsid w:val="00714281"/>
    <w:rsid w:val="00714B46"/>
    <w:rsid w:val="00714C48"/>
    <w:rsid w:val="00715178"/>
    <w:rsid w:val="007155E8"/>
    <w:rsid w:val="007160A3"/>
    <w:rsid w:val="00716A87"/>
    <w:rsid w:val="00716F9F"/>
    <w:rsid w:val="0072093D"/>
    <w:rsid w:val="00720B17"/>
    <w:rsid w:val="0072560B"/>
    <w:rsid w:val="00725DFA"/>
    <w:rsid w:val="00727C75"/>
    <w:rsid w:val="007313BA"/>
    <w:rsid w:val="007313DE"/>
    <w:rsid w:val="00731D53"/>
    <w:rsid w:val="00732A94"/>
    <w:rsid w:val="00733822"/>
    <w:rsid w:val="007366B7"/>
    <w:rsid w:val="00736D97"/>
    <w:rsid w:val="007370D4"/>
    <w:rsid w:val="00740701"/>
    <w:rsid w:val="00742446"/>
    <w:rsid w:val="00742BF7"/>
    <w:rsid w:val="00743CA6"/>
    <w:rsid w:val="007448E7"/>
    <w:rsid w:val="00744B1D"/>
    <w:rsid w:val="007450B0"/>
    <w:rsid w:val="0074526C"/>
    <w:rsid w:val="00747C42"/>
    <w:rsid w:val="00750B0F"/>
    <w:rsid w:val="00753784"/>
    <w:rsid w:val="0075515B"/>
    <w:rsid w:val="00755444"/>
    <w:rsid w:val="00756EA9"/>
    <w:rsid w:val="007579F2"/>
    <w:rsid w:val="007605D6"/>
    <w:rsid w:val="00760AFF"/>
    <w:rsid w:val="00760EC1"/>
    <w:rsid w:val="00761538"/>
    <w:rsid w:val="0076155E"/>
    <w:rsid w:val="00761CBE"/>
    <w:rsid w:val="00766A77"/>
    <w:rsid w:val="00766E81"/>
    <w:rsid w:val="00767EF8"/>
    <w:rsid w:val="00767FA3"/>
    <w:rsid w:val="007703BB"/>
    <w:rsid w:val="007708C4"/>
    <w:rsid w:val="00770C0B"/>
    <w:rsid w:val="0077145F"/>
    <w:rsid w:val="00771FCA"/>
    <w:rsid w:val="00773166"/>
    <w:rsid w:val="00773516"/>
    <w:rsid w:val="00773570"/>
    <w:rsid w:val="00773A70"/>
    <w:rsid w:val="00773EB9"/>
    <w:rsid w:val="007742BA"/>
    <w:rsid w:val="0077433A"/>
    <w:rsid w:val="007770C9"/>
    <w:rsid w:val="00777CCA"/>
    <w:rsid w:val="00783F99"/>
    <w:rsid w:val="00786543"/>
    <w:rsid w:val="00787445"/>
    <w:rsid w:val="00787D93"/>
    <w:rsid w:val="00787EB1"/>
    <w:rsid w:val="00787F16"/>
    <w:rsid w:val="007901F5"/>
    <w:rsid w:val="00791213"/>
    <w:rsid w:val="00791F8A"/>
    <w:rsid w:val="00797610"/>
    <w:rsid w:val="00797EAC"/>
    <w:rsid w:val="007A03DF"/>
    <w:rsid w:val="007A0DB8"/>
    <w:rsid w:val="007A17D9"/>
    <w:rsid w:val="007A73AD"/>
    <w:rsid w:val="007B0FA6"/>
    <w:rsid w:val="007B14EC"/>
    <w:rsid w:val="007B3444"/>
    <w:rsid w:val="007B377B"/>
    <w:rsid w:val="007B3E74"/>
    <w:rsid w:val="007B5D4E"/>
    <w:rsid w:val="007B723F"/>
    <w:rsid w:val="007C002A"/>
    <w:rsid w:val="007C3732"/>
    <w:rsid w:val="007C5399"/>
    <w:rsid w:val="007C684B"/>
    <w:rsid w:val="007C6978"/>
    <w:rsid w:val="007D0485"/>
    <w:rsid w:val="007D0AE8"/>
    <w:rsid w:val="007D0F36"/>
    <w:rsid w:val="007D101C"/>
    <w:rsid w:val="007D23C5"/>
    <w:rsid w:val="007D3C48"/>
    <w:rsid w:val="007D5615"/>
    <w:rsid w:val="007D5ADA"/>
    <w:rsid w:val="007D63E7"/>
    <w:rsid w:val="007D6543"/>
    <w:rsid w:val="007D738F"/>
    <w:rsid w:val="007E005D"/>
    <w:rsid w:val="007E02CB"/>
    <w:rsid w:val="007E0F83"/>
    <w:rsid w:val="007E2036"/>
    <w:rsid w:val="007E4899"/>
    <w:rsid w:val="007E4CB4"/>
    <w:rsid w:val="007F0893"/>
    <w:rsid w:val="007F0E48"/>
    <w:rsid w:val="007F2EC6"/>
    <w:rsid w:val="007F51D0"/>
    <w:rsid w:val="007F65D1"/>
    <w:rsid w:val="007F6E1C"/>
    <w:rsid w:val="00800741"/>
    <w:rsid w:val="00801560"/>
    <w:rsid w:val="0080164C"/>
    <w:rsid w:val="008019F0"/>
    <w:rsid w:val="00807A3F"/>
    <w:rsid w:val="00810520"/>
    <w:rsid w:val="00810639"/>
    <w:rsid w:val="00810BD8"/>
    <w:rsid w:val="00811331"/>
    <w:rsid w:val="00813781"/>
    <w:rsid w:val="008140F9"/>
    <w:rsid w:val="0081469C"/>
    <w:rsid w:val="008147FC"/>
    <w:rsid w:val="00817A45"/>
    <w:rsid w:val="00821DFC"/>
    <w:rsid w:val="00822541"/>
    <w:rsid w:val="00823145"/>
    <w:rsid w:val="0082730B"/>
    <w:rsid w:val="00827FE3"/>
    <w:rsid w:val="00830014"/>
    <w:rsid w:val="00832591"/>
    <w:rsid w:val="008344A5"/>
    <w:rsid w:val="00835031"/>
    <w:rsid w:val="00836AA0"/>
    <w:rsid w:val="00836FF1"/>
    <w:rsid w:val="00837372"/>
    <w:rsid w:val="0084002A"/>
    <w:rsid w:val="00840092"/>
    <w:rsid w:val="008413BD"/>
    <w:rsid w:val="00843920"/>
    <w:rsid w:val="0084552A"/>
    <w:rsid w:val="00845A92"/>
    <w:rsid w:val="00847BF2"/>
    <w:rsid w:val="00851920"/>
    <w:rsid w:val="00852A99"/>
    <w:rsid w:val="00852D8E"/>
    <w:rsid w:val="008539AD"/>
    <w:rsid w:val="0085482F"/>
    <w:rsid w:val="00854CFC"/>
    <w:rsid w:val="00855C37"/>
    <w:rsid w:val="00860E99"/>
    <w:rsid w:val="00861AB2"/>
    <w:rsid w:val="00861E96"/>
    <w:rsid w:val="00862F7F"/>
    <w:rsid w:val="00863657"/>
    <w:rsid w:val="008656B7"/>
    <w:rsid w:val="008678F6"/>
    <w:rsid w:val="00867BBB"/>
    <w:rsid w:val="00870C2D"/>
    <w:rsid w:val="008718F2"/>
    <w:rsid w:val="008725F6"/>
    <w:rsid w:val="00872CB4"/>
    <w:rsid w:val="0087325D"/>
    <w:rsid w:val="00874C5B"/>
    <w:rsid w:val="00875710"/>
    <w:rsid w:val="0087616A"/>
    <w:rsid w:val="00876196"/>
    <w:rsid w:val="00876DAA"/>
    <w:rsid w:val="00877EC3"/>
    <w:rsid w:val="00877F9C"/>
    <w:rsid w:val="008801D2"/>
    <w:rsid w:val="00880D9F"/>
    <w:rsid w:val="00881611"/>
    <w:rsid w:val="00882982"/>
    <w:rsid w:val="00882AB9"/>
    <w:rsid w:val="00883BE3"/>
    <w:rsid w:val="008847B7"/>
    <w:rsid w:val="00884F9D"/>
    <w:rsid w:val="00885F35"/>
    <w:rsid w:val="00885F38"/>
    <w:rsid w:val="00892038"/>
    <w:rsid w:val="008947DF"/>
    <w:rsid w:val="008A211B"/>
    <w:rsid w:val="008A2EF7"/>
    <w:rsid w:val="008A3CC2"/>
    <w:rsid w:val="008A6E1F"/>
    <w:rsid w:val="008A7C91"/>
    <w:rsid w:val="008A7CC9"/>
    <w:rsid w:val="008B01D1"/>
    <w:rsid w:val="008B071E"/>
    <w:rsid w:val="008B3B6B"/>
    <w:rsid w:val="008B65EB"/>
    <w:rsid w:val="008B7DD0"/>
    <w:rsid w:val="008C0E4D"/>
    <w:rsid w:val="008C0F76"/>
    <w:rsid w:val="008C483C"/>
    <w:rsid w:val="008C7B9E"/>
    <w:rsid w:val="008D044D"/>
    <w:rsid w:val="008D1E81"/>
    <w:rsid w:val="008D2AE9"/>
    <w:rsid w:val="008D6273"/>
    <w:rsid w:val="008D64E2"/>
    <w:rsid w:val="008D7E34"/>
    <w:rsid w:val="008E1EB8"/>
    <w:rsid w:val="008E1FDA"/>
    <w:rsid w:val="008E42F8"/>
    <w:rsid w:val="008E555E"/>
    <w:rsid w:val="008E63D3"/>
    <w:rsid w:val="008E66A3"/>
    <w:rsid w:val="008E737B"/>
    <w:rsid w:val="008E7BC2"/>
    <w:rsid w:val="008F12BA"/>
    <w:rsid w:val="008F1683"/>
    <w:rsid w:val="008F19D4"/>
    <w:rsid w:val="008F25A3"/>
    <w:rsid w:val="008F3755"/>
    <w:rsid w:val="008F4252"/>
    <w:rsid w:val="008F4EB5"/>
    <w:rsid w:val="008F72E6"/>
    <w:rsid w:val="009020B1"/>
    <w:rsid w:val="00902478"/>
    <w:rsid w:val="0090263B"/>
    <w:rsid w:val="0090617D"/>
    <w:rsid w:val="009061CE"/>
    <w:rsid w:val="009136FE"/>
    <w:rsid w:val="0091478E"/>
    <w:rsid w:val="00914C69"/>
    <w:rsid w:val="009162B7"/>
    <w:rsid w:val="009214D4"/>
    <w:rsid w:val="00921B73"/>
    <w:rsid w:val="009330C9"/>
    <w:rsid w:val="00933833"/>
    <w:rsid w:val="009349B1"/>
    <w:rsid w:val="0093681E"/>
    <w:rsid w:val="00936952"/>
    <w:rsid w:val="00937ED0"/>
    <w:rsid w:val="0094019C"/>
    <w:rsid w:val="00940C6E"/>
    <w:rsid w:val="00940C9D"/>
    <w:rsid w:val="00940F9C"/>
    <w:rsid w:val="00941943"/>
    <w:rsid w:val="00942021"/>
    <w:rsid w:val="00942873"/>
    <w:rsid w:val="00943357"/>
    <w:rsid w:val="0094451D"/>
    <w:rsid w:val="00944762"/>
    <w:rsid w:val="00944F45"/>
    <w:rsid w:val="00945553"/>
    <w:rsid w:val="009509AA"/>
    <w:rsid w:val="009509BC"/>
    <w:rsid w:val="00952741"/>
    <w:rsid w:val="00952C9E"/>
    <w:rsid w:val="009540B8"/>
    <w:rsid w:val="00954811"/>
    <w:rsid w:val="00954998"/>
    <w:rsid w:val="00954AAA"/>
    <w:rsid w:val="00960E62"/>
    <w:rsid w:val="00961CD0"/>
    <w:rsid w:val="0096275A"/>
    <w:rsid w:val="009645F2"/>
    <w:rsid w:val="009648A2"/>
    <w:rsid w:val="0096536F"/>
    <w:rsid w:val="00966E0E"/>
    <w:rsid w:val="00970F49"/>
    <w:rsid w:val="00971C13"/>
    <w:rsid w:val="0097238F"/>
    <w:rsid w:val="00972A9A"/>
    <w:rsid w:val="0097333F"/>
    <w:rsid w:val="009733AC"/>
    <w:rsid w:val="00974871"/>
    <w:rsid w:val="00974CC1"/>
    <w:rsid w:val="0097791B"/>
    <w:rsid w:val="00977A06"/>
    <w:rsid w:val="00977E9B"/>
    <w:rsid w:val="009803A4"/>
    <w:rsid w:val="0098137D"/>
    <w:rsid w:val="00983AE2"/>
    <w:rsid w:val="0098426F"/>
    <w:rsid w:val="00985B1E"/>
    <w:rsid w:val="00985BC5"/>
    <w:rsid w:val="00985D6A"/>
    <w:rsid w:val="0098627F"/>
    <w:rsid w:val="00986A07"/>
    <w:rsid w:val="00986E24"/>
    <w:rsid w:val="00986FFB"/>
    <w:rsid w:val="00987BAA"/>
    <w:rsid w:val="00990093"/>
    <w:rsid w:val="0099275F"/>
    <w:rsid w:val="00995274"/>
    <w:rsid w:val="00995E8A"/>
    <w:rsid w:val="009A1055"/>
    <w:rsid w:val="009A49A9"/>
    <w:rsid w:val="009A4B97"/>
    <w:rsid w:val="009A5200"/>
    <w:rsid w:val="009A544A"/>
    <w:rsid w:val="009A7092"/>
    <w:rsid w:val="009A712B"/>
    <w:rsid w:val="009A7FB0"/>
    <w:rsid w:val="009B1747"/>
    <w:rsid w:val="009B1AF1"/>
    <w:rsid w:val="009B2BAF"/>
    <w:rsid w:val="009B5DB8"/>
    <w:rsid w:val="009B6327"/>
    <w:rsid w:val="009B6A1C"/>
    <w:rsid w:val="009C029F"/>
    <w:rsid w:val="009C0E30"/>
    <w:rsid w:val="009C0F85"/>
    <w:rsid w:val="009C43BB"/>
    <w:rsid w:val="009C55EC"/>
    <w:rsid w:val="009C5BEB"/>
    <w:rsid w:val="009D0DC3"/>
    <w:rsid w:val="009D433B"/>
    <w:rsid w:val="009D4434"/>
    <w:rsid w:val="009D5452"/>
    <w:rsid w:val="009D5595"/>
    <w:rsid w:val="009D62F3"/>
    <w:rsid w:val="009D6E9A"/>
    <w:rsid w:val="009E07FD"/>
    <w:rsid w:val="009E350A"/>
    <w:rsid w:val="009E576D"/>
    <w:rsid w:val="009E6CDF"/>
    <w:rsid w:val="009E781F"/>
    <w:rsid w:val="009F2023"/>
    <w:rsid w:val="009F2C9C"/>
    <w:rsid w:val="009F507E"/>
    <w:rsid w:val="009F6926"/>
    <w:rsid w:val="009F6CED"/>
    <w:rsid w:val="009F70FB"/>
    <w:rsid w:val="009F7510"/>
    <w:rsid w:val="00A01027"/>
    <w:rsid w:val="00A01A68"/>
    <w:rsid w:val="00A02A63"/>
    <w:rsid w:val="00A03C7E"/>
    <w:rsid w:val="00A052FA"/>
    <w:rsid w:val="00A05634"/>
    <w:rsid w:val="00A059DC"/>
    <w:rsid w:val="00A05FF7"/>
    <w:rsid w:val="00A126EB"/>
    <w:rsid w:val="00A143C7"/>
    <w:rsid w:val="00A17099"/>
    <w:rsid w:val="00A2192D"/>
    <w:rsid w:val="00A23EDF"/>
    <w:rsid w:val="00A242AD"/>
    <w:rsid w:val="00A24399"/>
    <w:rsid w:val="00A2490C"/>
    <w:rsid w:val="00A259AA"/>
    <w:rsid w:val="00A2602D"/>
    <w:rsid w:val="00A26A6F"/>
    <w:rsid w:val="00A323E7"/>
    <w:rsid w:val="00A36BAE"/>
    <w:rsid w:val="00A421B3"/>
    <w:rsid w:val="00A434EB"/>
    <w:rsid w:val="00A44AEC"/>
    <w:rsid w:val="00A46E78"/>
    <w:rsid w:val="00A50D5B"/>
    <w:rsid w:val="00A53A52"/>
    <w:rsid w:val="00A54F72"/>
    <w:rsid w:val="00A5633C"/>
    <w:rsid w:val="00A56352"/>
    <w:rsid w:val="00A5770C"/>
    <w:rsid w:val="00A643B0"/>
    <w:rsid w:val="00A663C6"/>
    <w:rsid w:val="00A6646F"/>
    <w:rsid w:val="00A70250"/>
    <w:rsid w:val="00A714E4"/>
    <w:rsid w:val="00A725BB"/>
    <w:rsid w:val="00A740A8"/>
    <w:rsid w:val="00A74F27"/>
    <w:rsid w:val="00A75479"/>
    <w:rsid w:val="00A75705"/>
    <w:rsid w:val="00A75A21"/>
    <w:rsid w:val="00A761B6"/>
    <w:rsid w:val="00A77460"/>
    <w:rsid w:val="00A820A6"/>
    <w:rsid w:val="00A82FC8"/>
    <w:rsid w:val="00A85730"/>
    <w:rsid w:val="00A86DAC"/>
    <w:rsid w:val="00A8723D"/>
    <w:rsid w:val="00A87703"/>
    <w:rsid w:val="00A879C9"/>
    <w:rsid w:val="00A90341"/>
    <w:rsid w:val="00A91A73"/>
    <w:rsid w:val="00A91C32"/>
    <w:rsid w:val="00A94B2F"/>
    <w:rsid w:val="00A97078"/>
    <w:rsid w:val="00A9749E"/>
    <w:rsid w:val="00A977F2"/>
    <w:rsid w:val="00A97E6E"/>
    <w:rsid w:val="00AB199F"/>
    <w:rsid w:val="00AB25E7"/>
    <w:rsid w:val="00AB3C32"/>
    <w:rsid w:val="00AB45EF"/>
    <w:rsid w:val="00AB5CCE"/>
    <w:rsid w:val="00AB5E5F"/>
    <w:rsid w:val="00AB6279"/>
    <w:rsid w:val="00AB79DB"/>
    <w:rsid w:val="00AB7A32"/>
    <w:rsid w:val="00AC2DBE"/>
    <w:rsid w:val="00AC43FD"/>
    <w:rsid w:val="00AC549B"/>
    <w:rsid w:val="00AC607A"/>
    <w:rsid w:val="00AC6E8B"/>
    <w:rsid w:val="00AC7614"/>
    <w:rsid w:val="00AD0000"/>
    <w:rsid w:val="00AD06F0"/>
    <w:rsid w:val="00AD33CD"/>
    <w:rsid w:val="00AD3682"/>
    <w:rsid w:val="00AD4212"/>
    <w:rsid w:val="00AD70E0"/>
    <w:rsid w:val="00AE3DA9"/>
    <w:rsid w:val="00AE59FD"/>
    <w:rsid w:val="00AE5D3D"/>
    <w:rsid w:val="00AE7DA4"/>
    <w:rsid w:val="00AF0B65"/>
    <w:rsid w:val="00AF250C"/>
    <w:rsid w:val="00AF3374"/>
    <w:rsid w:val="00AF601E"/>
    <w:rsid w:val="00AF694A"/>
    <w:rsid w:val="00AF73C0"/>
    <w:rsid w:val="00AF795E"/>
    <w:rsid w:val="00AF7DDF"/>
    <w:rsid w:val="00B010E2"/>
    <w:rsid w:val="00B01C39"/>
    <w:rsid w:val="00B02C88"/>
    <w:rsid w:val="00B055D6"/>
    <w:rsid w:val="00B065D5"/>
    <w:rsid w:val="00B104C6"/>
    <w:rsid w:val="00B1203C"/>
    <w:rsid w:val="00B125BF"/>
    <w:rsid w:val="00B12D57"/>
    <w:rsid w:val="00B13390"/>
    <w:rsid w:val="00B243BB"/>
    <w:rsid w:val="00B27A07"/>
    <w:rsid w:val="00B31690"/>
    <w:rsid w:val="00B3334A"/>
    <w:rsid w:val="00B3337D"/>
    <w:rsid w:val="00B36A21"/>
    <w:rsid w:val="00B3726C"/>
    <w:rsid w:val="00B374A8"/>
    <w:rsid w:val="00B37BEF"/>
    <w:rsid w:val="00B41CB8"/>
    <w:rsid w:val="00B42517"/>
    <w:rsid w:val="00B43061"/>
    <w:rsid w:val="00B43BA2"/>
    <w:rsid w:val="00B4482B"/>
    <w:rsid w:val="00B44FA5"/>
    <w:rsid w:val="00B45005"/>
    <w:rsid w:val="00B454F7"/>
    <w:rsid w:val="00B46288"/>
    <w:rsid w:val="00B52E6D"/>
    <w:rsid w:val="00B52ED0"/>
    <w:rsid w:val="00B53A73"/>
    <w:rsid w:val="00B54603"/>
    <w:rsid w:val="00B552DA"/>
    <w:rsid w:val="00B562E2"/>
    <w:rsid w:val="00B56A11"/>
    <w:rsid w:val="00B56BE4"/>
    <w:rsid w:val="00B56ECB"/>
    <w:rsid w:val="00B6095E"/>
    <w:rsid w:val="00B62B84"/>
    <w:rsid w:val="00B62D66"/>
    <w:rsid w:val="00B63193"/>
    <w:rsid w:val="00B656B8"/>
    <w:rsid w:val="00B66398"/>
    <w:rsid w:val="00B679B0"/>
    <w:rsid w:val="00B67EEA"/>
    <w:rsid w:val="00B726D6"/>
    <w:rsid w:val="00B735C1"/>
    <w:rsid w:val="00B7381C"/>
    <w:rsid w:val="00B73EDF"/>
    <w:rsid w:val="00B76D9A"/>
    <w:rsid w:val="00B80857"/>
    <w:rsid w:val="00B832B1"/>
    <w:rsid w:val="00B85122"/>
    <w:rsid w:val="00B8574B"/>
    <w:rsid w:val="00B85A40"/>
    <w:rsid w:val="00B87F5A"/>
    <w:rsid w:val="00B90617"/>
    <w:rsid w:val="00B9122F"/>
    <w:rsid w:val="00B9205C"/>
    <w:rsid w:val="00B920E4"/>
    <w:rsid w:val="00B929A5"/>
    <w:rsid w:val="00B934A4"/>
    <w:rsid w:val="00B94187"/>
    <w:rsid w:val="00B97073"/>
    <w:rsid w:val="00B97620"/>
    <w:rsid w:val="00BA4608"/>
    <w:rsid w:val="00BA47A8"/>
    <w:rsid w:val="00BA4DDB"/>
    <w:rsid w:val="00BA57D7"/>
    <w:rsid w:val="00BA6874"/>
    <w:rsid w:val="00BA6CBE"/>
    <w:rsid w:val="00BA7E46"/>
    <w:rsid w:val="00BA7ECA"/>
    <w:rsid w:val="00BB0031"/>
    <w:rsid w:val="00BB07E1"/>
    <w:rsid w:val="00BB145E"/>
    <w:rsid w:val="00BB1A2E"/>
    <w:rsid w:val="00BB4CF4"/>
    <w:rsid w:val="00BB5D91"/>
    <w:rsid w:val="00BB660F"/>
    <w:rsid w:val="00BB6DF8"/>
    <w:rsid w:val="00BB7ADA"/>
    <w:rsid w:val="00BB7AFC"/>
    <w:rsid w:val="00BC1E07"/>
    <w:rsid w:val="00BC2B1A"/>
    <w:rsid w:val="00BC315F"/>
    <w:rsid w:val="00BC361D"/>
    <w:rsid w:val="00BC3C09"/>
    <w:rsid w:val="00BC5675"/>
    <w:rsid w:val="00BC769F"/>
    <w:rsid w:val="00BC7A4C"/>
    <w:rsid w:val="00BC7FF9"/>
    <w:rsid w:val="00BD3855"/>
    <w:rsid w:val="00BD3DCE"/>
    <w:rsid w:val="00BD52B8"/>
    <w:rsid w:val="00BD5628"/>
    <w:rsid w:val="00BD5AF3"/>
    <w:rsid w:val="00BD6C21"/>
    <w:rsid w:val="00BD7681"/>
    <w:rsid w:val="00BD7EF8"/>
    <w:rsid w:val="00BE06A0"/>
    <w:rsid w:val="00BE2377"/>
    <w:rsid w:val="00BE3345"/>
    <w:rsid w:val="00BE5A4D"/>
    <w:rsid w:val="00BE61C8"/>
    <w:rsid w:val="00BE64F5"/>
    <w:rsid w:val="00BE79A6"/>
    <w:rsid w:val="00BF086C"/>
    <w:rsid w:val="00BF0DB9"/>
    <w:rsid w:val="00BF1A73"/>
    <w:rsid w:val="00BF2508"/>
    <w:rsid w:val="00BF33D2"/>
    <w:rsid w:val="00BF37C2"/>
    <w:rsid w:val="00BF3935"/>
    <w:rsid w:val="00BF39BB"/>
    <w:rsid w:val="00BF46BB"/>
    <w:rsid w:val="00BF6D9A"/>
    <w:rsid w:val="00C00A00"/>
    <w:rsid w:val="00C01112"/>
    <w:rsid w:val="00C01494"/>
    <w:rsid w:val="00C025E7"/>
    <w:rsid w:val="00C0263E"/>
    <w:rsid w:val="00C10625"/>
    <w:rsid w:val="00C108ED"/>
    <w:rsid w:val="00C1184C"/>
    <w:rsid w:val="00C12C0D"/>
    <w:rsid w:val="00C134D8"/>
    <w:rsid w:val="00C20CDF"/>
    <w:rsid w:val="00C2317E"/>
    <w:rsid w:val="00C23456"/>
    <w:rsid w:val="00C2390A"/>
    <w:rsid w:val="00C2498B"/>
    <w:rsid w:val="00C24E8B"/>
    <w:rsid w:val="00C25CDF"/>
    <w:rsid w:val="00C263A8"/>
    <w:rsid w:val="00C2790A"/>
    <w:rsid w:val="00C27912"/>
    <w:rsid w:val="00C30A10"/>
    <w:rsid w:val="00C33473"/>
    <w:rsid w:val="00C33D18"/>
    <w:rsid w:val="00C3696D"/>
    <w:rsid w:val="00C414D7"/>
    <w:rsid w:val="00C420DF"/>
    <w:rsid w:val="00C43040"/>
    <w:rsid w:val="00C43E3A"/>
    <w:rsid w:val="00C44D2D"/>
    <w:rsid w:val="00C476E4"/>
    <w:rsid w:val="00C52C4B"/>
    <w:rsid w:val="00C53DDA"/>
    <w:rsid w:val="00C56DF6"/>
    <w:rsid w:val="00C5737B"/>
    <w:rsid w:val="00C6038C"/>
    <w:rsid w:val="00C60584"/>
    <w:rsid w:val="00C6060A"/>
    <w:rsid w:val="00C60B28"/>
    <w:rsid w:val="00C62091"/>
    <w:rsid w:val="00C6258D"/>
    <w:rsid w:val="00C62A66"/>
    <w:rsid w:val="00C63628"/>
    <w:rsid w:val="00C67663"/>
    <w:rsid w:val="00C67C69"/>
    <w:rsid w:val="00C705A5"/>
    <w:rsid w:val="00C71654"/>
    <w:rsid w:val="00C729D3"/>
    <w:rsid w:val="00C729E7"/>
    <w:rsid w:val="00C72B5E"/>
    <w:rsid w:val="00C73FA9"/>
    <w:rsid w:val="00C77E0D"/>
    <w:rsid w:val="00C8146A"/>
    <w:rsid w:val="00C81AD4"/>
    <w:rsid w:val="00C832A5"/>
    <w:rsid w:val="00C83E16"/>
    <w:rsid w:val="00C84DA9"/>
    <w:rsid w:val="00C84EB8"/>
    <w:rsid w:val="00C853DA"/>
    <w:rsid w:val="00C8757C"/>
    <w:rsid w:val="00C904F1"/>
    <w:rsid w:val="00C93076"/>
    <w:rsid w:val="00C9363B"/>
    <w:rsid w:val="00C9418E"/>
    <w:rsid w:val="00C94270"/>
    <w:rsid w:val="00C9490D"/>
    <w:rsid w:val="00C9510D"/>
    <w:rsid w:val="00C9531E"/>
    <w:rsid w:val="00C96A49"/>
    <w:rsid w:val="00C96D02"/>
    <w:rsid w:val="00C96F79"/>
    <w:rsid w:val="00CA0E8F"/>
    <w:rsid w:val="00CA1042"/>
    <w:rsid w:val="00CA19D6"/>
    <w:rsid w:val="00CA20B8"/>
    <w:rsid w:val="00CA24D5"/>
    <w:rsid w:val="00CA2681"/>
    <w:rsid w:val="00CA3243"/>
    <w:rsid w:val="00CA3D5A"/>
    <w:rsid w:val="00CA3F81"/>
    <w:rsid w:val="00CA69A6"/>
    <w:rsid w:val="00CA6FBA"/>
    <w:rsid w:val="00CA7D86"/>
    <w:rsid w:val="00CB049B"/>
    <w:rsid w:val="00CB319C"/>
    <w:rsid w:val="00CB4256"/>
    <w:rsid w:val="00CB4268"/>
    <w:rsid w:val="00CB4887"/>
    <w:rsid w:val="00CB7E17"/>
    <w:rsid w:val="00CC0560"/>
    <w:rsid w:val="00CC0E14"/>
    <w:rsid w:val="00CC22F9"/>
    <w:rsid w:val="00CC4EB8"/>
    <w:rsid w:val="00CC6A51"/>
    <w:rsid w:val="00CD32E1"/>
    <w:rsid w:val="00CD4064"/>
    <w:rsid w:val="00CD5087"/>
    <w:rsid w:val="00CD58EF"/>
    <w:rsid w:val="00CD6D47"/>
    <w:rsid w:val="00CD7464"/>
    <w:rsid w:val="00CE03AB"/>
    <w:rsid w:val="00CE3A87"/>
    <w:rsid w:val="00CE3F2F"/>
    <w:rsid w:val="00CE6644"/>
    <w:rsid w:val="00CE6BE7"/>
    <w:rsid w:val="00CE755F"/>
    <w:rsid w:val="00CF13B5"/>
    <w:rsid w:val="00CF2191"/>
    <w:rsid w:val="00CF659A"/>
    <w:rsid w:val="00CF6DE9"/>
    <w:rsid w:val="00CF6ED6"/>
    <w:rsid w:val="00CF7737"/>
    <w:rsid w:val="00CF7C08"/>
    <w:rsid w:val="00D00C78"/>
    <w:rsid w:val="00D02C9E"/>
    <w:rsid w:val="00D03193"/>
    <w:rsid w:val="00D046FC"/>
    <w:rsid w:val="00D0549B"/>
    <w:rsid w:val="00D06F2E"/>
    <w:rsid w:val="00D11242"/>
    <w:rsid w:val="00D11CD6"/>
    <w:rsid w:val="00D129A2"/>
    <w:rsid w:val="00D13802"/>
    <w:rsid w:val="00D13E03"/>
    <w:rsid w:val="00D13FF9"/>
    <w:rsid w:val="00D143D3"/>
    <w:rsid w:val="00D163D0"/>
    <w:rsid w:val="00D16E2C"/>
    <w:rsid w:val="00D20F72"/>
    <w:rsid w:val="00D21F92"/>
    <w:rsid w:val="00D251A1"/>
    <w:rsid w:val="00D26905"/>
    <w:rsid w:val="00D27E00"/>
    <w:rsid w:val="00D328CE"/>
    <w:rsid w:val="00D33E71"/>
    <w:rsid w:val="00D358E0"/>
    <w:rsid w:val="00D35C26"/>
    <w:rsid w:val="00D43850"/>
    <w:rsid w:val="00D451A1"/>
    <w:rsid w:val="00D455F3"/>
    <w:rsid w:val="00D51FCA"/>
    <w:rsid w:val="00D52EE2"/>
    <w:rsid w:val="00D53501"/>
    <w:rsid w:val="00D5386C"/>
    <w:rsid w:val="00D540A6"/>
    <w:rsid w:val="00D5473A"/>
    <w:rsid w:val="00D55EF3"/>
    <w:rsid w:val="00D56B59"/>
    <w:rsid w:val="00D57BE2"/>
    <w:rsid w:val="00D60B2A"/>
    <w:rsid w:val="00D616A7"/>
    <w:rsid w:val="00D61BE0"/>
    <w:rsid w:val="00D6282C"/>
    <w:rsid w:val="00D62B56"/>
    <w:rsid w:val="00D6320B"/>
    <w:rsid w:val="00D64B55"/>
    <w:rsid w:val="00D6767C"/>
    <w:rsid w:val="00D67827"/>
    <w:rsid w:val="00D700A4"/>
    <w:rsid w:val="00D72FA5"/>
    <w:rsid w:val="00D73309"/>
    <w:rsid w:val="00D74D0B"/>
    <w:rsid w:val="00D759E7"/>
    <w:rsid w:val="00D775D2"/>
    <w:rsid w:val="00D77738"/>
    <w:rsid w:val="00D810AE"/>
    <w:rsid w:val="00D81187"/>
    <w:rsid w:val="00D8135F"/>
    <w:rsid w:val="00D81C55"/>
    <w:rsid w:val="00D83D79"/>
    <w:rsid w:val="00D854C4"/>
    <w:rsid w:val="00D85AB5"/>
    <w:rsid w:val="00D86295"/>
    <w:rsid w:val="00D862F8"/>
    <w:rsid w:val="00D8649C"/>
    <w:rsid w:val="00D8793B"/>
    <w:rsid w:val="00D879D1"/>
    <w:rsid w:val="00D91066"/>
    <w:rsid w:val="00D91A7B"/>
    <w:rsid w:val="00D91E9E"/>
    <w:rsid w:val="00D96558"/>
    <w:rsid w:val="00D967FA"/>
    <w:rsid w:val="00DA0A3E"/>
    <w:rsid w:val="00DA1330"/>
    <w:rsid w:val="00DA1ADC"/>
    <w:rsid w:val="00DA2D87"/>
    <w:rsid w:val="00DA3486"/>
    <w:rsid w:val="00DA5441"/>
    <w:rsid w:val="00DB30B2"/>
    <w:rsid w:val="00DB423A"/>
    <w:rsid w:val="00DB548B"/>
    <w:rsid w:val="00DB5765"/>
    <w:rsid w:val="00DB63D4"/>
    <w:rsid w:val="00DB713F"/>
    <w:rsid w:val="00DC106C"/>
    <w:rsid w:val="00DC2259"/>
    <w:rsid w:val="00DC2C99"/>
    <w:rsid w:val="00DC2D12"/>
    <w:rsid w:val="00DC46C9"/>
    <w:rsid w:val="00DC47A4"/>
    <w:rsid w:val="00DC5248"/>
    <w:rsid w:val="00DC5C85"/>
    <w:rsid w:val="00DD058B"/>
    <w:rsid w:val="00DD08A7"/>
    <w:rsid w:val="00DD2029"/>
    <w:rsid w:val="00DD30B2"/>
    <w:rsid w:val="00DD3CD2"/>
    <w:rsid w:val="00DD785C"/>
    <w:rsid w:val="00DE12D7"/>
    <w:rsid w:val="00DE13AD"/>
    <w:rsid w:val="00DE171D"/>
    <w:rsid w:val="00DE2EF3"/>
    <w:rsid w:val="00DE617C"/>
    <w:rsid w:val="00DF2382"/>
    <w:rsid w:val="00DF4349"/>
    <w:rsid w:val="00DF621E"/>
    <w:rsid w:val="00DF62FA"/>
    <w:rsid w:val="00DF7D48"/>
    <w:rsid w:val="00E00BF5"/>
    <w:rsid w:val="00E00D75"/>
    <w:rsid w:val="00E016DB"/>
    <w:rsid w:val="00E0197C"/>
    <w:rsid w:val="00E0237A"/>
    <w:rsid w:val="00E0254F"/>
    <w:rsid w:val="00E02B10"/>
    <w:rsid w:val="00E03BB9"/>
    <w:rsid w:val="00E04084"/>
    <w:rsid w:val="00E04B3B"/>
    <w:rsid w:val="00E04FDB"/>
    <w:rsid w:val="00E06110"/>
    <w:rsid w:val="00E07445"/>
    <w:rsid w:val="00E111E4"/>
    <w:rsid w:val="00E11F09"/>
    <w:rsid w:val="00E142C1"/>
    <w:rsid w:val="00E14F5A"/>
    <w:rsid w:val="00E15B74"/>
    <w:rsid w:val="00E15BF2"/>
    <w:rsid w:val="00E17157"/>
    <w:rsid w:val="00E2032A"/>
    <w:rsid w:val="00E21F15"/>
    <w:rsid w:val="00E2327B"/>
    <w:rsid w:val="00E2513A"/>
    <w:rsid w:val="00E2632E"/>
    <w:rsid w:val="00E3042E"/>
    <w:rsid w:val="00E307A1"/>
    <w:rsid w:val="00E31502"/>
    <w:rsid w:val="00E32462"/>
    <w:rsid w:val="00E3463F"/>
    <w:rsid w:val="00E34B6C"/>
    <w:rsid w:val="00E361F5"/>
    <w:rsid w:val="00E40FE6"/>
    <w:rsid w:val="00E40FE8"/>
    <w:rsid w:val="00E4138E"/>
    <w:rsid w:val="00E4193F"/>
    <w:rsid w:val="00E41B0C"/>
    <w:rsid w:val="00E42341"/>
    <w:rsid w:val="00E42CBB"/>
    <w:rsid w:val="00E43520"/>
    <w:rsid w:val="00E43D61"/>
    <w:rsid w:val="00E44B8A"/>
    <w:rsid w:val="00E44C8A"/>
    <w:rsid w:val="00E45BFF"/>
    <w:rsid w:val="00E46295"/>
    <w:rsid w:val="00E502D6"/>
    <w:rsid w:val="00E513FC"/>
    <w:rsid w:val="00E516D9"/>
    <w:rsid w:val="00E54C7C"/>
    <w:rsid w:val="00E54E2C"/>
    <w:rsid w:val="00E5716A"/>
    <w:rsid w:val="00E6166A"/>
    <w:rsid w:val="00E6400B"/>
    <w:rsid w:val="00E64356"/>
    <w:rsid w:val="00E66119"/>
    <w:rsid w:val="00E67A22"/>
    <w:rsid w:val="00E7044D"/>
    <w:rsid w:val="00E704EA"/>
    <w:rsid w:val="00E70611"/>
    <w:rsid w:val="00E70CB8"/>
    <w:rsid w:val="00E713CD"/>
    <w:rsid w:val="00E736FF"/>
    <w:rsid w:val="00E74162"/>
    <w:rsid w:val="00E764C3"/>
    <w:rsid w:val="00E765EF"/>
    <w:rsid w:val="00E82D9D"/>
    <w:rsid w:val="00E83C85"/>
    <w:rsid w:val="00E84623"/>
    <w:rsid w:val="00E85CDF"/>
    <w:rsid w:val="00E872C7"/>
    <w:rsid w:val="00E87808"/>
    <w:rsid w:val="00E8790A"/>
    <w:rsid w:val="00E87CD3"/>
    <w:rsid w:val="00E9064F"/>
    <w:rsid w:val="00E910A9"/>
    <w:rsid w:val="00E91247"/>
    <w:rsid w:val="00E92C64"/>
    <w:rsid w:val="00E9524D"/>
    <w:rsid w:val="00E958E8"/>
    <w:rsid w:val="00E96623"/>
    <w:rsid w:val="00E96668"/>
    <w:rsid w:val="00E97C36"/>
    <w:rsid w:val="00EA0652"/>
    <w:rsid w:val="00EA2DB8"/>
    <w:rsid w:val="00EA5F56"/>
    <w:rsid w:val="00EA6DB4"/>
    <w:rsid w:val="00EA6E88"/>
    <w:rsid w:val="00EB1681"/>
    <w:rsid w:val="00EB2CB4"/>
    <w:rsid w:val="00EB37D3"/>
    <w:rsid w:val="00EB3E97"/>
    <w:rsid w:val="00EC26FE"/>
    <w:rsid w:val="00EC2C56"/>
    <w:rsid w:val="00EC3B54"/>
    <w:rsid w:val="00EC78FA"/>
    <w:rsid w:val="00ED01AD"/>
    <w:rsid w:val="00ED2146"/>
    <w:rsid w:val="00ED5710"/>
    <w:rsid w:val="00EE45E8"/>
    <w:rsid w:val="00EE47F1"/>
    <w:rsid w:val="00EE5946"/>
    <w:rsid w:val="00EE63FC"/>
    <w:rsid w:val="00EE6849"/>
    <w:rsid w:val="00EF0613"/>
    <w:rsid w:val="00EF1A20"/>
    <w:rsid w:val="00EF2A94"/>
    <w:rsid w:val="00EF52A4"/>
    <w:rsid w:val="00F0078D"/>
    <w:rsid w:val="00F023EE"/>
    <w:rsid w:val="00F04E5C"/>
    <w:rsid w:val="00F0582D"/>
    <w:rsid w:val="00F06F74"/>
    <w:rsid w:val="00F07A2D"/>
    <w:rsid w:val="00F11249"/>
    <w:rsid w:val="00F11F0B"/>
    <w:rsid w:val="00F1265E"/>
    <w:rsid w:val="00F129BB"/>
    <w:rsid w:val="00F13F50"/>
    <w:rsid w:val="00F14A5A"/>
    <w:rsid w:val="00F16B52"/>
    <w:rsid w:val="00F17C0E"/>
    <w:rsid w:val="00F210AC"/>
    <w:rsid w:val="00F211F7"/>
    <w:rsid w:val="00F21403"/>
    <w:rsid w:val="00F21407"/>
    <w:rsid w:val="00F249C2"/>
    <w:rsid w:val="00F253C7"/>
    <w:rsid w:val="00F26AF6"/>
    <w:rsid w:val="00F279A4"/>
    <w:rsid w:val="00F30C0A"/>
    <w:rsid w:val="00F32B42"/>
    <w:rsid w:val="00F34E4B"/>
    <w:rsid w:val="00F35481"/>
    <w:rsid w:val="00F3562D"/>
    <w:rsid w:val="00F3664A"/>
    <w:rsid w:val="00F4209F"/>
    <w:rsid w:val="00F42383"/>
    <w:rsid w:val="00F4381C"/>
    <w:rsid w:val="00F438B4"/>
    <w:rsid w:val="00F43CC8"/>
    <w:rsid w:val="00F4428C"/>
    <w:rsid w:val="00F4572C"/>
    <w:rsid w:val="00F469A1"/>
    <w:rsid w:val="00F47BA8"/>
    <w:rsid w:val="00F50150"/>
    <w:rsid w:val="00F5048C"/>
    <w:rsid w:val="00F52791"/>
    <w:rsid w:val="00F53DE9"/>
    <w:rsid w:val="00F54043"/>
    <w:rsid w:val="00F577C0"/>
    <w:rsid w:val="00F613BC"/>
    <w:rsid w:val="00F62E56"/>
    <w:rsid w:val="00F64890"/>
    <w:rsid w:val="00F64C25"/>
    <w:rsid w:val="00F6525F"/>
    <w:rsid w:val="00F6669A"/>
    <w:rsid w:val="00F67366"/>
    <w:rsid w:val="00F67D49"/>
    <w:rsid w:val="00F706B4"/>
    <w:rsid w:val="00F70E3F"/>
    <w:rsid w:val="00F70FC0"/>
    <w:rsid w:val="00F71B14"/>
    <w:rsid w:val="00F731E5"/>
    <w:rsid w:val="00F7330B"/>
    <w:rsid w:val="00F73509"/>
    <w:rsid w:val="00F73D5D"/>
    <w:rsid w:val="00F763B1"/>
    <w:rsid w:val="00F769C0"/>
    <w:rsid w:val="00F77FC8"/>
    <w:rsid w:val="00F81319"/>
    <w:rsid w:val="00F8194F"/>
    <w:rsid w:val="00F819C2"/>
    <w:rsid w:val="00F834FE"/>
    <w:rsid w:val="00F8574E"/>
    <w:rsid w:val="00F86FF1"/>
    <w:rsid w:val="00F92240"/>
    <w:rsid w:val="00F92FF4"/>
    <w:rsid w:val="00F967F6"/>
    <w:rsid w:val="00FA2C7B"/>
    <w:rsid w:val="00FA4306"/>
    <w:rsid w:val="00FA4DDD"/>
    <w:rsid w:val="00FA7422"/>
    <w:rsid w:val="00FB01B5"/>
    <w:rsid w:val="00FB0DA0"/>
    <w:rsid w:val="00FB2D8A"/>
    <w:rsid w:val="00FB33F1"/>
    <w:rsid w:val="00FB3F04"/>
    <w:rsid w:val="00FB3FF4"/>
    <w:rsid w:val="00FB4038"/>
    <w:rsid w:val="00FB4BBC"/>
    <w:rsid w:val="00FC127B"/>
    <w:rsid w:val="00FC1F1B"/>
    <w:rsid w:val="00FC3A86"/>
    <w:rsid w:val="00FC4760"/>
    <w:rsid w:val="00FD1451"/>
    <w:rsid w:val="00FD153C"/>
    <w:rsid w:val="00FD2D9B"/>
    <w:rsid w:val="00FD4696"/>
    <w:rsid w:val="00FD52DD"/>
    <w:rsid w:val="00FD5918"/>
    <w:rsid w:val="00FD6ACE"/>
    <w:rsid w:val="00FE0974"/>
    <w:rsid w:val="00FE2FAF"/>
    <w:rsid w:val="00FE504D"/>
    <w:rsid w:val="00FE5945"/>
    <w:rsid w:val="00FE68A6"/>
    <w:rsid w:val="00FE76FD"/>
    <w:rsid w:val="00FF0C6B"/>
    <w:rsid w:val="00FF1CFE"/>
    <w:rsid w:val="00FF2FAA"/>
    <w:rsid w:val="00FF35CC"/>
    <w:rsid w:val="00FF36D3"/>
    <w:rsid w:val="00FF3D8E"/>
    <w:rsid w:val="01B47860"/>
    <w:rsid w:val="023511AC"/>
    <w:rsid w:val="03085AD4"/>
    <w:rsid w:val="0310282B"/>
    <w:rsid w:val="034716B1"/>
    <w:rsid w:val="04313D20"/>
    <w:rsid w:val="05D61297"/>
    <w:rsid w:val="06063480"/>
    <w:rsid w:val="06B10052"/>
    <w:rsid w:val="08820D2D"/>
    <w:rsid w:val="09EF02BE"/>
    <w:rsid w:val="0CE01CE8"/>
    <w:rsid w:val="0E5D20DB"/>
    <w:rsid w:val="10C766C2"/>
    <w:rsid w:val="12BF7BA5"/>
    <w:rsid w:val="13C373CA"/>
    <w:rsid w:val="148B6BD6"/>
    <w:rsid w:val="14A05391"/>
    <w:rsid w:val="15535E13"/>
    <w:rsid w:val="16071EA4"/>
    <w:rsid w:val="16EC628A"/>
    <w:rsid w:val="180034D1"/>
    <w:rsid w:val="185635DD"/>
    <w:rsid w:val="19B07790"/>
    <w:rsid w:val="1A5A348F"/>
    <w:rsid w:val="1AA13D4C"/>
    <w:rsid w:val="1BBF4F22"/>
    <w:rsid w:val="1D463C3C"/>
    <w:rsid w:val="1D5C1797"/>
    <w:rsid w:val="1EE325DC"/>
    <w:rsid w:val="1F18561A"/>
    <w:rsid w:val="201B279A"/>
    <w:rsid w:val="21C10DA8"/>
    <w:rsid w:val="21E80E01"/>
    <w:rsid w:val="22944C50"/>
    <w:rsid w:val="22E27354"/>
    <w:rsid w:val="248C466D"/>
    <w:rsid w:val="25C825E9"/>
    <w:rsid w:val="27FF71E2"/>
    <w:rsid w:val="299A10AD"/>
    <w:rsid w:val="29B30B38"/>
    <w:rsid w:val="2AE71424"/>
    <w:rsid w:val="2CB33508"/>
    <w:rsid w:val="2E216DF4"/>
    <w:rsid w:val="2E4C638E"/>
    <w:rsid w:val="2E776231"/>
    <w:rsid w:val="2EAD1F12"/>
    <w:rsid w:val="2F126F83"/>
    <w:rsid w:val="2F623B53"/>
    <w:rsid w:val="30AE35B3"/>
    <w:rsid w:val="326C223A"/>
    <w:rsid w:val="32936DAB"/>
    <w:rsid w:val="33CE0C8C"/>
    <w:rsid w:val="357B3C89"/>
    <w:rsid w:val="35A97D61"/>
    <w:rsid w:val="35AC6359"/>
    <w:rsid w:val="373D71AC"/>
    <w:rsid w:val="39394AC4"/>
    <w:rsid w:val="3A50060D"/>
    <w:rsid w:val="3BA44BDC"/>
    <w:rsid w:val="3BF34C54"/>
    <w:rsid w:val="3BF97D44"/>
    <w:rsid w:val="3C8D374B"/>
    <w:rsid w:val="3CCA41A6"/>
    <w:rsid w:val="3D90117E"/>
    <w:rsid w:val="411F0144"/>
    <w:rsid w:val="412D5EA0"/>
    <w:rsid w:val="418326C9"/>
    <w:rsid w:val="420B77EB"/>
    <w:rsid w:val="422D6988"/>
    <w:rsid w:val="422D6A0C"/>
    <w:rsid w:val="42303FB4"/>
    <w:rsid w:val="42CB5AB4"/>
    <w:rsid w:val="444B4A7D"/>
    <w:rsid w:val="46906FE1"/>
    <w:rsid w:val="46BB3DDE"/>
    <w:rsid w:val="475F4A22"/>
    <w:rsid w:val="479F793D"/>
    <w:rsid w:val="488E33BA"/>
    <w:rsid w:val="4943775F"/>
    <w:rsid w:val="4AB608FF"/>
    <w:rsid w:val="4C8D6CEE"/>
    <w:rsid w:val="4DB820F6"/>
    <w:rsid w:val="50CA3428"/>
    <w:rsid w:val="529058C8"/>
    <w:rsid w:val="538F2E93"/>
    <w:rsid w:val="54654622"/>
    <w:rsid w:val="56B52632"/>
    <w:rsid w:val="57AC0920"/>
    <w:rsid w:val="597F4317"/>
    <w:rsid w:val="5A456161"/>
    <w:rsid w:val="5A86229C"/>
    <w:rsid w:val="5AB90EA7"/>
    <w:rsid w:val="5B454FF3"/>
    <w:rsid w:val="5BCA7054"/>
    <w:rsid w:val="5D5625F1"/>
    <w:rsid w:val="60D96ECE"/>
    <w:rsid w:val="60E40CD2"/>
    <w:rsid w:val="61A16E08"/>
    <w:rsid w:val="61B67FF8"/>
    <w:rsid w:val="620630DD"/>
    <w:rsid w:val="632D1E1C"/>
    <w:rsid w:val="633C1C44"/>
    <w:rsid w:val="64A55DDE"/>
    <w:rsid w:val="65CF0373"/>
    <w:rsid w:val="678B23BD"/>
    <w:rsid w:val="67CD5C7A"/>
    <w:rsid w:val="68050AA1"/>
    <w:rsid w:val="695251D1"/>
    <w:rsid w:val="69527952"/>
    <w:rsid w:val="69B106F8"/>
    <w:rsid w:val="6A053E83"/>
    <w:rsid w:val="6C566921"/>
    <w:rsid w:val="6D1B3197"/>
    <w:rsid w:val="6E2B51E1"/>
    <w:rsid w:val="6E374DF2"/>
    <w:rsid w:val="6E515819"/>
    <w:rsid w:val="6F536BDA"/>
    <w:rsid w:val="703C1953"/>
    <w:rsid w:val="705D344D"/>
    <w:rsid w:val="7109767C"/>
    <w:rsid w:val="71334679"/>
    <w:rsid w:val="71E25444"/>
    <w:rsid w:val="72006369"/>
    <w:rsid w:val="722662C0"/>
    <w:rsid w:val="725211B3"/>
    <w:rsid w:val="73E06C72"/>
    <w:rsid w:val="74B30272"/>
    <w:rsid w:val="74C76829"/>
    <w:rsid w:val="74F619EF"/>
    <w:rsid w:val="75B634A2"/>
    <w:rsid w:val="75D0173A"/>
    <w:rsid w:val="75DE472A"/>
    <w:rsid w:val="78400698"/>
    <w:rsid w:val="785C587D"/>
    <w:rsid w:val="785E3A7F"/>
    <w:rsid w:val="7874447C"/>
    <w:rsid w:val="796E1F55"/>
    <w:rsid w:val="79762FDE"/>
    <w:rsid w:val="7A476B8E"/>
    <w:rsid w:val="7B3B614F"/>
    <w:rsid w:val="7BBB195D"/>
    <w:rsid w:val="7BEC5C79"/>
    <w:rsid w:val="7D946546"/>
    <w:rsid w:val="7FAE77DE"/>
    <w:rsid w:val="7FF7592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jc w:val="center"/>
      <w:outlineLvl w:val="0"/>
    </w:pPr>
    <w:rPr>
      <w:rFonts w:ascii="楷体_GB2312" w:eastAsia="楷体_GB2312"/>
      <w:b/>
      <w:bCs/>
    </w:rPr>
  </w:style>
  <w:style w:type="paragraph" w:styleId="5">
    <w:name w:val="heading 3"/>
    <w:basedOn w:val="1"/>
    <w:next w:val="1"/>
    <w:link w:val="33"/>
    <w:qFormat/>
    <w:uiPriority w:val="0"/>
    <w:pPr>
      <w:keepNext/>
      <w:keepLines/>
      <w:spacing w:before="260" w:after="260" w:line="416" w:lineRule="auto"/>
      <w:outlineLvl w:val="2"/>
    </w:pPr>
    <w:rPr>
      <w:b/>
      <w:bCs/>
      <w:sz w:val="32"/>
      <w:szCs w:val="32"/>
    </w:rPr>
  </w:style>
  <w:style w:type="paragraph" w:styleId="6">
    <w:name w:val="heading 4"/>
    <w:basedOn w:val="1"/>
    <w:next w:val="1"/>
    <w:link w:val="32"/>
    <w:qFormat/>
    <w:uiPriority w:val="0"/>
    <w:pPr>
      <w:keepNext/>
      <w:keepLines/>
      <w:spacing w:before="280" w:after="290" w:line="376" w:lineRule="auto"/>
      <w:outlineLvl w:val="3"/>
    </w:pPr>
    <w:rPr>
      <w:rFonts w:ascii="Cambria" w:hAnsi="Cambria"/>
      <w:b/>
      <w:bCs/>
      <w:sz w:val="28"/>
      <w:szCs w:val="28"/>
    </w:rPr>
  </w:style>
  <w:style w:type="paragraph" w:styleId="7">
    <w:name w:val="heading 6"/>
    <w:basedOn w:val="1"/>
    <w:next w:val="1"/>
    <w:qFormat/>
    <w:uiPriority w:val="0"/>
    <w:pPr>
      <w:keepNext/>
      <w:keepLines/>
      <w:spacing w:before="240" w:after="64" w:line="320" w:lineRule="auto"/>
      <w:outlineLvl w:val="5"/>
    </w:pPr>
    <w:rPr>
      <w:rFonts w:ascii="Arial" w:hAnsi="Arial" w:eastAsia="黑体"/>
      <w:b/>
      <w:bCs/>
      <w:sz w:val="24"/>
    </w:rPr>
  </w:style>
  <w:style w:type="character" w:default="1" w:styleId="25">
    <w:name w:val="Default Paragraph Font"/>
    <w:semiHidden/>
    <w:unhideWhenUsed/>
    <w:qFormat/>
    <w:uiPriority w:val="1"/>
  </w:style>
  <w:style w:type="table" w:default="1" w:styleId="30">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表格文字"/>
    <w:basedOn w:val="1"/>
    <w:next w:val="3"/>
    <w:qFormat/>
    <w:uiPriority w:val="0"/>
    <w:pPr>
      <w:adjustRightInd w:val="0"/>
      <w:spacing w:line="420" w:lineRule="atLeast"/>
      <w:jc w:val="left"/>
      <w:textAlignment w:val="baseline"/>
    </w:pPr>
    <w:rPr>
      <w:kern w:val="0"/>
    </w:rPr>
  </w:style>
  <w:style w:type="paragraph" w:styleId="3">
    <w:name w:val="Body Text"/>
    <w:basedOn w:val="1"/>
    <w:link w:val="36"/>
    <w:qFormat/>
    <w:uiPriority w:val="0"/>
    <w:pPr>
      <w:spacing w:after="120"/>
    </w:pPr>
  </w:style>
  <w:style w:type="paragraph" w:styleId="8">
    <w:name w:val="annotation subject"/>
    <w:basedOn w:val="9"/>
    <w:next w:val="9"/>
    <w:semiHidden/>
    <w:qFormat/>
    <w:uiPriority w:val="0"/>
    <w:rPr>
      <w:b/>
      <w:bCs/>
    </w:rPr>
  </w:style>
  <w:style w:type="paragraph" w:styleId="9">
    <w:name w:val="annotation text"/>
    <w:basedOn w:val="1"/>
    <w:semiHidden/>
    <w:qFormat/>
    <w:uiPriority w:val="0"/>
    <w:pPr>
      <w:jc w:val="left"/>
    </w:pPr>
  </w:style>
  <w:style w:type="paragraph" w:styleId="10">
    <w:name w:val="Body Text First Indent"/>
    <w:basedOn w:val="3"/>
    <w:link w:val="35"/>
    <w:qFormat/>
    <w:uiPriority w:val="0"/>
    <w:pPr>
      <w:ind w:firstLine="420" w:firstLineChars="100"/>
    </w:pPr>
  </w:style>
  <w:style w:type="paragraph" w:styleId="11">
    <w:name w:val="Normal Indent"/>
    <w:basedOn w:val="1"/>
    <w:link w:val="49"/>
    <w:qFormat/>
    <w:uiPriority w:val="0"/>
    <w:pPr>
      <w:adjustRightInd w:val="0"/>
      <w:spacing w:line="312" w:lineRule="atLeast"/>
      <w:ind w:firstLine="420"/>
      <w:textAlignment w:val="baseline"/>
    </w:pPr>
    <w:rPr>
      <w:kern w:val="0"/>
      <w:szCs w:val="20"/>
    </w:rPr>
  </w:style>
  <w:style w:type="paragraph" w:styleId="12">
    <w:name w:val="Document Map"/>
    <w:basedOn w:val="1"/>
    <w:semiHidden/>
    <w:qFormat/>
    <w:uiPriority w:val="0"/>
    <w:pPr>
      <w:shd w:val="clear" w:color="auto" w:fill="000080"/>
    </w:pPr>
  </w:style>
  <w:style w:type="paragraph" w:styleId="13">
    <w:name w:val="Body Text Indent"/>
    <w:basedOn w:val="1"/>
    <w:qFormat/>
    <w:uiPriority w:val="0"/>
    <w:pPr>
      <w:ind w:left="480" w:hanging="480" w:hangingChars="200"/>
    </w:pPr>
    <w:rPr>
      <w:sz w:val="24"/>
    </w:rPr>
  </w:style>
  <w:style w:type="paragraph" w:styleId="14">
    <w:name w:val="toc 3"/>
    <w:basedOn w:val="1"/>
    <w:next w:val="1"/>
    <w:semiHidden/>
    <w:qFormat/>
    <w:uiPriority w:val="0"/>
    <w:pPr>
      <w:ind w:left="840" w:leftChars="400"/>
    </w:pPr>
  </w:style>
  <w:style w:type="paragraph" w:styleId="15">
    <w:name w:val="Plain Text"/>
    <w:basedOn w:val="1"/>
    <w:link w:val="40"/>
    <w:qFormat/>
    <w:uiPriority w:val="0"/>
    <w:pPr>
      <w:widowControl/>
      <w:overflowPunct w:val="0"/>
      <w:autoSpaceDE w:val="0"/>
      <w:autoSpaceDN w:val="0"/>
      <w:adjustRightInd w:val="0"/>
      <w:jc w:val="left"/>
      <w:textAlignment w:val="baseline"/>
    </w:pPr>
    <w:rPr>
      <w:rFonts w:ascii="宋体" w:hAnsi="Courier New"/>
      <w:kern w:val="0"/>
      <w:szCs w:val="21"/>
    </w:rPr>
  </w:style>
  <w:style w:type="paragraph" w:styleId="16">
    <w:name w:val="Date"/>
    <w:basedOn w:val="1"/>
    <w:next w:val="1"/>
    <w:qFormat/>
    <w:uiPriority w:val="0"/>
    <w:pPr>
      <w:ind w:left="100" w:leftChars="2500"/>
    </w:pPr>
  </w:style>
  <w:style w:type="paragraph" w:styleId="17">
    <w:name w:val="Body Text Indent 2"/>
    <w:basedOn w:val="1"/>
    <w:qFormat/>
    <w:uiPriority w:val="0"/>
    <w:pPr>
      <w:spacing w:line="500" w:lineRule="exact"/>
      <w:ind w:firstLine="511" w:firstLineChars="213"/>
    </w:pPr>
    <w:rPr>
      <w:sz w:val="24"/>
    </w:rPr>
  </w:style>
  <w:style w:type="paragraph" w:styleId="18">
    <w:name w:val="Balloon Text"/>
    <w:basedOn w:val="1"/>
    <w:semiHidden/>
    <w:qFormat/>
    <w:uiPriority w:val="0"/>
    <w:rPr>
      <w:sz w:val="18"/>
      <w:szCs w:val="18"/>
    </w:rPr>
  </w:style>
  <w:style w:type="paragraph" w:styleId="19">
    <w:name w:val="footer"/>
    <w:basedOn w:val="1"/>
    <w:qFormat/>
    <w:uiPriority w:val="0"/>
    <w:pPr>
      <w:tabs>
        <w:tab w:val="center" w:pos="4153"/>
        <w:tab w:val="right" w:pos="8306"/>
      </w:tabs>
      <w:snapToGrid w:val="0"/>
      <w:jc w:val="left"/>
    </w:pPr>
    <w:rPr>
      <w:sz w:val="18"/>
      <w:szCs w:val="18"/>
    </w:rPr>
  </w:style>
  <w:style w:type="paragraph" w:styleId="2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1">
    <w:name w:val="toc 1"/>
    <w:basedOn w:val="1"/>
    <w:next w:val="1"/>
    <w:semiHidden/>
    <w:qFormat/>
    <w:uiPriority w:val="0"/>
    <w:pPr>
      <w:tabs>
        <w:tab w:val="right" w:leader="dot" w:pos="9628"/>
      </w:tabs>
      <w:spacing w:line="480" w:lineRule="auto"/>
    </w:pPr>
    <w:rPr>
      <w:rFonts w:ascii="仿宋_GB2312" w:hAnsi="Arial" w:eastAsia="仿宋_GB2312" w:cs="Arial"/>
      <w:b/>
      <w:bCs/>
      <w:sz w:val="24"/>
    </w:rPr>
  </w:style>
  <w:style w:type="paragraph" w:styleId="22">
    <w:name w:val="Body Text Indent 3"/>
    <w:basedOn w:val="1"/>
    <w:qFormat/>
    <w:uiPriority w:val="0"/>
    <w:pPr>
      <w:spacing w:line="500" w:lineRule="exact"/>
      <w:ind w:left="511" w:hanging="511" w:hangingChars="213"/>
    </w:pPr>
    <w:rPr>
      <w:sz w:val="24"/>
    </w:rPr>
  </w:style>
  <w:style w:type="paragraph" w:styleId="23">
    <w:name w:val="toc 2"/>
    <w:basedOn w:val="1"/>
    <w:next w:val="1"/>
    <w:semiHidden/>
    <w:qFormat/>
    <w:uiPriority w:val="0"/>
    <w:pPr>
      <w:ind w:left="420" w:leftChars="200"/>
    </w:pPr>
  </w:style>
  <w:style w:type="paragraph" w:styleId="24">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26">
    <w:name w:val="Strong"/>
    <w:qFormat/>
    <w:uiPriority w:val="0"/>
    <w:rPr>
      <w:b/>
      <w:bCs/>
    </w:rPr>
  </w:style>
  <w:style w:type="character" w:styleId="27">
    <w:name w:val="page number"/>
    <w:basedOn w:val="25"/>
    <w:qFormat/>
    <w:uiPriority w:val="0"/>
  </w:style>
  <w:style w:type="character" w:styleId="28">
    <w:name w:val="Hyperlink"/>
    <w:qFormat/>
    <w:uiPriority w:val="0"/>
    <w:rPr>
      <w:color w:val="000000"/>
      <w:sz w:val="20"/>
      <w:szCs w:val="20"/>
      <w:u w:val="none"/>
    </w:rPr>
  </w:style>
  <w:style w:type="character" w:styleId="29">
    <w:name w:val="annotation reference"/>
    <w:semiHidden/>
    <w:qFormat/>
    <w:uiPriority w:val="0"/>
    <w:rPr>
      <w:sz w:val="21"/>
      <w:szCs w:val="21"/>
    </w:rPr>
  </w:style>
  <w:style w:type="table" w:styleId="31">
    <w:name w:val="Table Grid"/>
    <w:basedOn w:val="3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32">
    <w:name w:val="标题 4 Char"/>
    <w:link w:val="6"/>
    <w:semiHidden/>
    <w:qFormat/>
    <w:uiPriority w:val="0"/>
    <w:rPr>
      <w:rFonts w:ascii="Cambria" w:hAnsi="Cambria" w:eastAsia="宋体"/>
      <w:b/>
      <w:bCs/>
      <w:kern w:val="2"/>
      <w:sz w:val="28"/>
      <w:szCs w:val="28"/>
      <w:lang w:bidi="ar-SA"/>
    </w:rPr>
  </w:style>
  <w:style w:type="character" w:customStyle="1" w:styleId="33">
    <w:name w:val="标题 3 Char"/>
    <w:link w:val="5"/>
    <w:qFormat/>
    <w:uiPriority w:val="0"/>
    <w:rPr>
      <w:b/>
      <w:bCs/>
      <w:kern w:val="2"/>
      <w:sz w:val="32"/>
      <w:szCs w:val="32"/>
      <w:lang w:bidi="ar-SA"/>
    </w:rPr>
  </w:style>
  <w:style w:type="character" w:customStyle="1" w:styleId="34">
    <w:name w:val="Char Char Char"/>
    <w:qFormat/>
    <w:uiPriority w:val="0"/>
    <w:rPr>
      <w:rFonts w:ascii="宋体" w:hAnsi="Courier New" w:eastAsia="宋体"/>
      <w:sz w:val="21"/>
      <w:szCs w:val="21"/>
      <w:lang w:val="en-US" w:eastAsia="zh-CN" w:bidi="ar-SA"/>
    </w:rPr>
  </w:style>
  <w:style w:type="character" w:customStyle="1" w:styleId="35">
    <w:name w:val="正文首行缩进 Char"/>
    <w:basedOn w:val="36"/>
    <w:link w:val="10"/>
    <w:qFormat/>
    <w:uiPriority w:val="0"/>
    <w:rPr>
      <w:kern w:val="2"/>
      <w:sz w:val="21"/>
      <w:szCs w:val="24"/>
    </w:rPr>
  </w:style>
  <w:style w:type="character" w:customStyle="1" w:styleId="36">
    <w:name w:val="正文文本 Char"/>
    <w:link w:val="3"/>
    <w:qFormat/>
    <w:uiPriority w:val="0"/>
    <w:rPr>
      <w:kern w:val="2"/>
      <w:sz w:val="21"/>
      <w:szCs w:val="24"/>
    </w:rPr>
  </w:style>
  <w:style w:type="character" w:customStyle="1" w:styleId="37">
    <w:name w:val="哈哈正文 Char"/>
    <w:link w:val="38"/>
    <w:qFormat/>
    <w:uiPriority w:val="0"/>
    <w:rPr>
      <w:rFonts w:ascii="宋体" w:hAnsi="宋体" w:eastAsia="宋体" w:cs="宋体"/>
      <w:kern w:val="2"/>
      <w:sz w:val="24"/>
      <w:lang w:val="en-US" w:eastAsia="zh-CN" w:bidi="ar-SA"/>
    </w:rPr>
  </w:style>
  <w:style w:type="paragraph" w:customStyle="1" w:styleId="38">
    <w:name w:val="哈哈正文"/>
    <w:basedOn w:val="1"/>
    <w:link w:val="37"/>
    <w:qFormat/>
    <w:uiPriority w:val="0"/>
    <w:pPr>
      <w:spacing w:line="360" w:lineRule="auto"/>
      <w:ind w:firstLine="200" w:firstLineChars="200"/>
    </w:pPr>
    <w:rPr>
      <w:rFonts w:ascii="宋体" w:hAnsi="宋体" w:cs="宋体"/>
      <w:sz w:val="24"/>
      <w:szCs w:val="20"/>
    </w:rPr>
  </w:style>
  <w:style w:type="character" w:customStyle="1" w:styleId="39">
    <w:name w:val="style21"/>
    <w:qFormat/>
    <w:uiPriority w:val="0"/>
    <w:rPr>
      <w:sz w:val="15"/>
      <w:szCs w:val="15"/>
    </w:rPr>
  </w:style>
  <w:style w:type="character" w:customStyle="1" w:styleId="40">
    <w:name w:val="纯文本 Char"/>
    <w:link w:val="15"/>
    <w:qFormat/>
    <w:uiPriority w:val="0"/>
    <w:rPr>
      <w:rFonts w:ascii="宋体" w:hAnsi="Courier New" w:eastAsia="宋体"/>
      <w:sz w:val="21"/>
      <w:szCs w:val="21"/>
      <w:lang w:val="en-US" w:eastAsia="zh-CN" w:bidi="ar-SA"/>
    </w:rPr>
  </w:style>
  <w:style w:type="character" w:customStyle="1" w:styleId="41">
    <w:name w:val="样式6 列表并列 Char"/>
    <w:link w:val="42"/>
    <w:qFormat/>
    <w:locked/>
    <w:uiPriority w:val="0"/>
    <w:rPr>
      <w:rFonts w:ascii="Arial" w:hAnsi="Arial" w:cs="Arial"/>
      <w:kern w:val="21"/>
      <w:sz w:val="21"/>
      <w:szCs w:val="24"/>
    </w:rPr>
  </w:style>
  <w:style w:type="paragraph" w:customStyle="1" w:styleId="42">
    <w:name w:val="样式6 列表并列"/>
    <w:link w:val="41"/>
    <w:qFormat/>
    <w:uiPriority w:val="0"/>
    <w:pPr>
      <w:widowControl w:val="0"/>
      <w:tabs>
        <w:tab w:val="left" w:pos="0"/>
      </w:tabs>
      <w:spacing w:before="40" w:after="40" w:line="240" w:lineRule="atLeast"/>
      <w:ind w:left="840" w:hanging="420"/>
    </w:pPr>
    <w:rPr>
      <w:rFonts w:ascii="Arial" w:hAnsi="Arial" w:eastAsia="宋体" w:cs="Arial"/>
      <w:kern w:val="21"/>
      <w:sz w:val="21"/>
      <w:szCs w:val="24"/>
      <w:lang w:val="en-US" w:eastAsia="zh-CN" w:bidi="ar-SA"/>
    </w:rPr>
  </w:style>
  <w:style w:type="character" w:customStyle="1" w:styleId="43">
    <w:name w:val="unnamed51"/>
    <w:qFormat/>
    <w:uiPriority w:val="0"/>
    <w:rPr>
      <w:sz w:val="22"/>
      <w:szCs w:val="22"/>
    </w:rPr>
  </w:style>
  <w:style w:type="character" w:customStyle="1" w:styleId="44">
    <w:name w:val="文档正文 Char"/>
    <w:link w:val="45"/>
    <w:qFormat/>
    <w:uiPriority w:val="0"/>
    <w:rPr>
      <w:rFonts w:ascii="Tahoma" w:hAnsi="Tahoma" w:eastAsia="仿宋_GB2312"/>
      <w:sz w:val="28"/>
      <w:lang w:val="en-US" w:eastAsia="zh-CN" w:bidi="ar-SA"/>
    </w:rPr>
  </w:style>
  <w:style w:type="paragraph" w:customStyle="1" w:styleId="45">
    <w:name w:val="文档正文"/>
    <w:basedOn w:val="1"/>
    <w:link w:val="44"/>
    <w:qFormat/>
    <w:uiPriority w:val="0"/>
    <w:pPr>
      <w:spacing w:line="360" w:lineRule="auto"/>
      <w:ind w:firstLine="480" w:firstLineChars="200"/>
    </w:pPr>
    <w:rPr>
      <w:rFonts w:ascii="Tahoma" w:hAnsi="Tahoma" w:eastAsia="仿宋_GB2312"/>
      <w:kern w:val="0"/>
      <w:sz w:val="28"/>
      <w:szCs w:val="20"/>
    </w:rPr>
  </w:style>
  <w:style w:type="character" w:customStyle="1" w:styleId="46">
    <w:name w:val="List Paragraph Char"/>
    <w:link w:val="47"/>
    <w:qFormat/>
    <w:uiPriority w:val="0"/>
    <w:rPr>
      <w:rFonts w:ascii="Calibri" w:hAnsi="Calibri" w:eastAsia="宋体"/>
      <w:kern w:val="2"/>
      <w:sz w:val="21"/>
      <w:szCs w:val="22"/>
      <w:lang w:val="en-US" w:eastAsia="zh-CN" w:bidi="ar-SA"/>
    </w:rPr>
  </w:style>
  <w:style w:type="paragraph" w:customStyle="1" w:styleId="47">
    <w:name w:val="列出段落1"/>
    <w:basedOn w:val="1"/>
    <w:link w:val="46"/>
    <w:qFormat/>
    <w:uiPriority w:val="0"/>
    <w:pPr>
      <w:ind w:firstLine="420" w:firstLineChars="200"/>
    </w:pPr>
    <w:rPr>
      <w:rFonts w:ascii="Calibri" w:hAnsi="Calibri"/>
      <w:szCs w:val="22"/>
    </w:rPr>
  </w:style>
  <w:style w:type="character" w:customStyle="1" w:styleId="48">
    <w:name w:val="Char Char2"/>
    <w:qFormat/>
    <w:uiPriority w:val="0"/>
    <w:rPr>
      <w:rFonts w:ascii="宋体" w:hAnsi="Courier New" w:eastAsia="宋体"/>
      <w:kern w:val="2"/>
      <w:sz w:val="21"/>
      <w:lang w:val="en-US" w:eastAsia="zh-CN"/>
    </w:rPr>
  </w:style>
  <w:style w:type="character" w:customStyle="1" w:styleId="49">
    <w:name w:val="正文缩进 Char"/>
    <w:link w:val="11"/>
    <w:qFormat/>
    <w:uiPriority w:val="0"/>
    <w:rPr>
      <w:rFonts w:eastAsia="宋体"/>
      <w:sz w:val="21"/>
      <w:lang w:val="en-US" w:eastAsia="zh-CN" w:bidi="ar-SA"/>
    </w:rPr>
  </w:style>
  <w:style w:type="character" w:customStyle="1" w:styleId="50">
    <w:name w:val="Texte Char Char"/>
    <w:qFormat/>
    <w:uiPriority w:val="0"/>
    <w:rPr>
      <w:rFonts w:ascii="宋体" w:hAnsi="Courier New" w:eastAsia="宋体"/>
      <w:sz w:val="21"/>
      <w:szCs w:val="21"/>
      <w:lang w:val="en-US" w:eastAsia="zh-CN" w:bidi="ar-SA"/>
    </w:rPr>
  </w:style>
  <w:style w:type="character" w:customStyle="1" w:styleId="51">
    <w:name w:val="纯文本 Char1"/>
    <w:basedOn w:val="25"/>
    <w:qFormat/>
    <w:locked/>
    <w:uiPriority w:val="0"/>
    <w:rPr>
      <w:rFonts w:ascii="宋体" w:hAnsi="Courier New"/>
      <w:sz w:val="21"/>
      <w:szCs w:val="21"/>
    </w:rPr>
  </w:style>
  <w:style w:type="paragraph" w:customStyle="1" w:styleId="52">
    <w:name w:val="Char Char Char Char Char Char Char"/>
    <w:basedOn w:val="1"/>
    <w:qFormat/>
    <w:uiPriority w:val="0"/>
    <w:rPr>
      <w:rFonts w:ascii="仿宋_GB2312" w:eastAsia="仿宋_GB2312"/>
      <w:b/>
      <w:sz w:val="32"/>
      <w:szCs w:val="32"/>
    </w:rPr>
  </w:style>
  <w:style w:type="paragraph" w:customStyle="1" w:styleId="53">
    <w:name w:val="Char Char Char Char Char Char Char1"/>
    <w:basedOn w:val="1"/>
    <w:qFormat/>
    <w:uiPriority w:val="0"/>
    <w:rPr>
      <w:rFonts w:ascii="仿宋_GB2312" w:eastAsia="仿宋_GB2312"/>
      <w:b/>
      <w:sz w:val="32"/>
      <w:szCs w:val="32"/>
    </w:rPr>
  </w:style>
  <w:style w:type="paragraph" w:customStyle="1" w:styleId="54">
    <w:name w:val="Char Char Char Char1"/>
    <w:basedOn w:val="1"/>
    <w:qFormat/>
    <w:uiPriority w:val="0"/>
    <w:rPr>
      <w:rFonts w:ascii="Tahoma" w:hAnsi="Tahoma"/>
      <w:sz w:val="24"/>
      <w:szCs w:val="20"/>
    </w:rPr>
  </w:style>
  <w:style w:type="paragraph" w:customStyle="1" w:styleId="55">
    <w:name w:val="Char Char Char Char Char Char Char Char Char Char Char Char Char1"/>
    <w:basedOn w:val="1"/>
    <w:qFormat/>
    <w:uiPriority w:val="0"/>
    <w:rPr>
      <w:rFonts w:ascii="Tahoma" w:hAnsi="Tahoma"/>
      <w:sz w:val="24"/>
      <w:szCs w:val="20"/>
    </w:rPr>
  </w:style>
  <w:style w:type="paragraph" w:customStyle="1" w:styleId="56">
    <w:name w:val="样式 Arial 小四 首行缩进:  0.85 厘米"/>
    <w:basedOn w:val="1"/>
    <w:qFormat/>
    <w:uiPriority w:val="0"/>
    <w:pPr>
      <w:spacing w:line="360" w:lineRule="auto"/>
      <w:ind w:firstLine="482"/>
    </w:pPr>
    <w:rPr>
      <w:rFonts w:ascii="Arial" w:hAnsi="Arial" w:cs="宋体"/>
      <w:sz w:val="24"/>
      <w:szCs w:val="20"/>
    </w:rPr>
  </w:style>
  <w:style w:type="paragraph" w:customStyle="1" w:styleId="57">
    <w:name w:val="正文2"/>
    <w:basedOn w:val="1"/>
    <w:qFormat/>
    <w:uiPriority w:val="0"/>
    <w:pPr>
      <w:spacing w:before="156" w:line="360" w:lineRule="auto"/>
      <w:ind w:firstLine="510" w:firstLineChars="200"/>
    </w:pPr>
    <w:rPr>
      <w:sz w:val="24"/>
      <w:szCs w:val="20"/>
    </w:rPr>
  </w:style>
  <w:style w:type="paragraph" w:customStyle="1" w:styleId="58">
    <w:name w:val="简单回函地址"/>
    <w:basedOn w:val="1"/>
    <w:qFormat/>
    <w:uiPriority w:val="0"/>
  </w:style>
  <w:style w:type="paragraph" w:customStyle="1" w:styleId="59">
    <w:name w:val="Char Char Char Char"/>
    <w:basedOn w:val="12"/>
    <w:qFormat/>
    <w:uiPriority w:val="0"/>
    <w:rPr>
      <w:rFonts w:ascii="Tahoma" w:hAnsi="Tahoma"/>
      <w:sz w:val="24"/>
    </w:rPr>
  </w:style>
  <w:style w:type="paragraph" w:customStyle="1" w:styleId="60">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1">
    <w:name w:val="style31"/>
    <w:basedOn w:val="1"/>
    <w:qFormat/>
    <w:uiPriority w:val="0"/>
    <w:pPr>
      <w:widowControl/>
      <w:spacing w:before="100" w:beforeAutospacing="1" w:after="100" w:afterAutospacing="1"/>
      <w:jc w:val="left"/>
    </w:pPr>
    <w:rPr>
      <w:rFonts w:ascii="宋体" w:hAnsi="宋体" w:cs="宋体"/>
      <w:kern w:val="0"/>
      <w:sz w:val="24"/>
    </w:rPr>
  </w:style>
  <w:style w:type="paragraph" w:customStyle="1" w:styleId="62">
    <w:name w:val="xl55"/>
    <w:basedOn w:val="1"/>
    <w:qFormat/>
    <w:uiPriority w:val="0"/>
    <w:pPr>
      <w:widowControl/>
      <w:spacing w:before="100" w:beforeAutospacing="1" w:after="100" w:afterAutospacing="1"/>
      <w:jc w:val="center"/>
      <w:textAlignment w:val="center"/>
    </w:pPr>
    <w:rPr>
      <w:rFonts w:ascii="Arial Unicode MS" w:hAnsi="Arial Unicode MS"/>
      <w:kern w:val="0"/>
      <w:sz w:val="24"/>
      <w:szCs w:val="20"/>
    </w:rPr>
  </w:style>
  <w:style w:type="paragraph" w:customStyle="1" w:styleId="63">
    <w:name w:val="表内文字"/>
    <w:basedOn w:val="1"/>
    <w:qFormat/>
    <w:uiPriority w:val="0"/>
    <w:pPr>
      <w:spacing w:line="240" w:lineRule="atLeast"/>
      <w:jc w:val="center"/>
    </w:pPr>
    <w:rPr>
      <w:rFonts w:ascii="Arial" w:hAnsi="Arial" w:cs="Arial"/>
      <w:b/>
      <w:bCs/>
    </w:rPr>
  </w:style>
  <w:style w:type="paragraph" w:customStyle="1" w:styleId="64">
    <w:name w:val="正文－恩普"/>
    <w:basedOn w:val="11"/>
    <w:qFormat/>
    <w:uiPriority w:val="0"/>
    <w:pPr>
      <w:framePr w:wrap="around" w:vAnchor="text" w:hAnchor="text" w:y="1"/>
      <w:adjustRightInd/>
      <w:spacing w:line="360" w:lineRule="auto"/>
      <w:ind w:firstLine="200" w:firstLineChars="200"/>
      <w:textAlignment w:val="auto"/>
    </w:pPr>
    <w:rPr>
      <w:kern w:val="2"/>
      <w:sz w:val="24"/>
      <w:szCs w:val="24"/>
    </w:rPr>
  </w:style>
  <w:style w:type="paragraph" w:customStyle="1" w:styleId="65">
    <w:name w:val="Char1 Char Char Char"/>
    <w:basedOn w:val="1"/>
    <w:qFormat/>
    <w:uiPriority w:val="0"/>
    <w:rPr>
      <w:rFonts w:ascii="Tahoma" w:hAnsi="Tahoma"/>
      <w:sz w:val="24"/>
      <w:szCs w:val="20"/>
    </w:rPr>
  </w:style>
  <w:style w:type="paragraph" w:customStyle="1" w:styleId="66">
    <w:name w:val="Char Char"/>
    <w:basedOn w:val="1"/>
    <w:qFormat/>
    <w:uiPriority w:val="0"/>
    <w:rPr>
      <w:rFonts w:ascii="仿宋_GB2312" w:eastAsia="仿宋_GB2312"/>
      <w:b/>
      <w:sz w:val="32"/>
      <w:szCs w:val="32"/>
    </w:rPr>
  </w:style>
  <w:style w:type="paragraph" w:customStyle="1" w:styleId="67">
    <w:name w:val="默认段落字体 Para Char"/>
    <w:basedOn w:val="1"/>
    <w:qFormat/>
    <w:uiPriority w:val="0"/>
    <w:pPr>
      <w:tabs>
        <w:tab w:val="left" w:pos="360"/>
      </w:tabs>
      <w:adjustRightInd w:val="0"/>
      <w:textAlignment w:val="baseline"/>
    </w:pPr>
    <w:rPr>
      <w:kern w:val="0"/>
      <w:sz w:val="24"/>
      <w:szCs w:val="20"/>
    </w:rPr>
  </w:style>
  <w:style w:type="paragraph" w:styleId="68">
    <w:name w:val="List Paragraph"/>
    <w:basedOn w:val="1"/>
    <w:qFormat/>
    <w:uiPriority w:val="34"/>
    <w:pPr>
      <w:ind w:firstLine="420" w:firstLineChars="200"/>
    </w:pPr>
  </w:style>
  <w:style w:type="paragraph" w:customStyle="1" w:styleId="69">
    <w:name w:val="_Style 44"/>
    <w:basedOn w:val="11"/>
    <w:qFormat/>
    <w:uiPriority w:val="0"/>
    <w:pPr>
      <w:framePr w:wrap="around" w:vAnchor="text" w:hAnchor="text" w:y="1"/>
      <w:adjustRightInd/>
      <w:spacing w:line="360" w:lineRule="auto"/>
      <w:ind w:firstLine="200" w:firstLineChars="200"/>
      <w:textAlignment w:val="auto"/>
    </w:pPr>
    <w:rPr>
      <w:kern w:val="2"/>
      <w:sz w:val="24"/>
      <w:szCs w:val="24"/>
    </w:rPr>
  </w:style>
  <w:style w:type="paragraph" w:customStyle="1" w:styleId="70">
    <w:name w:val="Char Char Char Char Char Char Char Char Char Char Char Char Char"/>
    <w:basedOn w:val="1"/>
    <w:qFormat/>
    <w:uiPriority w:val="0"/>
    <w:rPr>
      <w:rFonts w:ascii="Tahoma" w:hAnsi="Tahoma"/>
      <w:sz w:val="24"/>
      <w:szCs w:val="20"/>
    </w:rPr>
  </w:style>
  <w:style w:type="paragraph" w:customStyle="1" w:styleId="71">
    <w:name w:val="Char Char1 Char Char Char Char Char Char1"/>
    <w:basedOn w:val="1"/>
    <w:qFormat/>
    <w:uiPriority w:val="0"/>
    <w:pPr>
      <w:widowControl/>
      <w:spacing w:after="160" w:line="240" w:lineRule="exact"/>
      <w:jc w:val="left"/>
    </w:pPr>
    <w:rPr>
      <w:rFonts w:ascii="宋体" w:hAnsi="宋体" w:cs="宋体"/>
      <w:kern w:val="0"/>
      <w:szCs w:val="20"/>
    </w:rPr>
  </w:style>
  <w:style w:type="paragraph" w:customStyle="1" w:styleId="72">
    <w:name w:val="Char Char7 Char"/>
    <w:basedOn w:val="1"/>
    <w:qFormat/>
    <w:uiPriority w:val="0"/>
    <w:pPr>
      <w:tabs>
        <w:tab w:val="left" w:pos="425"/>
      </w:tabs>
      <w:ind w:left="420" w:leftChars="200" w:firstLine="270" w:firstLineChars="150"/>
    </w:pPr>
  </w:style>
  <w:style w:type="paragraph" w:customStyle="1" w:styleId="73">
    <w:name w:val="xl35"/>
    <w:basedOn w:val="1"/>
    <w:qFormat/>
    <w:uiPriority w:val="0"/>
    <w:pPr>
      <w:widowControl/>
      <w:pBdr>
        <w:left w:val="single" w:color="auto" w:sz="4" w:space="0"/>
        <w:bottom w:val="single" w:color="auto" w:sz="4" w:space="0"/>
        <w:right w:val="single" w:color="auto" w:sz="4" w:space="0"/>
      </w:pBdr>
      <w:spacing w:before="100" w:beforeAutospacing="1" w:after="100" w:afterAutospacing="1"/>
      <w:textAlignment w:val="center"/>
    </w:pPr>
    <w:rPr>
      <w:rFonts w:ascii="Arial Unicode MS" w:hAnsi="Arial Unicode MS" w:eastAsia="Arial Unicode MS"/>
      <w:kern w:val="0"/>
      <w:sz w:val="24"/>
    </w:rPr>
  </w:style>
  <w:style w:type="paragraph" w:customStyle="1" w:styleId="74">
    <w:name w:val="保留正文"/>
    <w:basedOn w:val="3"/>
    <w:qFormat/>
    <w:uiPriority w:val="0"/>
    <w:pPr>
      <w:keepNext/>
      <w:spacing w:after="160"/>
    </w:pPr>
  </w:style>
  <w:style w:type="paragraph" w:customStyle="1" w:styleId="75">
    <w:name w:val="Char Char Char Char Char Char Char Char Char Char Char Char Char2"/>
    <w:basedOn w:val="1"/>
    <w:qFormat/>
    <w:uiPriority w:val="0"/>
    <w:rPr>
      <w:rFonts w:ascii="Tahoma" w:hAnsi="Tahoma"/>
      <w:sz w:val="24"/>
      <w:szCs w:val="20"/>
    </w:rPr>
  </w:style>
  <w:style w:type="paragraph" w:customStyle="1" w:styleId="76">
    <w:name w:val="无间隔1"/>
    <w:basedOn w:val="1"/>
    <w:qFormat/>
    <w:uiPriority w:val="0"/>
    <w:pPr>
      <w:widowControl/>
      <w:adjustRightInd w:val="0"/>
      <w:snapToGrid w:val="0"/>
      <w:spacing w:before="100" w:beforeAutospacing="1"/>
      <w:jc w:val="left"/>
    </w:pPr>
    <w:rPr>
      <w:rFonts w:ascii="Tahoma" w:hAnsi="Tahoma" w:eastAsia="微软雅黑"/>
      <w:kern w:val="0"/>
      <w:sz w:val="22"/>
      <w:szCs w:val="2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E90B01C-D620-4ADE-960B-F45AC1F8E313}">
  <ds:schemaRefs/>
</ds:datastoreItem>
</file>

<file path=docProps/app.xml><?xml version="1.0" encoding="utf-8"?>
<Properties xmlns="http://schemas.openxmlformats.org/officeDocument/2006/extended-properties" xmlns:vt="http://schemas.openxmlformats.org/officeDocument/2006/docPropsVTypes">
  <Template>Normal</Template>
  <Pages>1</Pages>
  <Words>2956</Words>
  <Characters>16850</Characters>
  <Lines>140</Lines>
  <Paragraphs>39</Paragraphs>
  <TotalTime>3</TotalTime>
  <ScaleCrop>false</ScaleCrop>
  <LinksUpToDate>false</LinksUpToDate>
  <CharactersWithSpaces>19767</CharactersWithSpaces>
  <Application>WPS Office_10.1.0.7521_F1E327BC-269C-435d-A152-05C5408002CA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2019-10-07T17:57:00Z</dcterms:created>
  <dc:creator>LCMZX</dc:creator>
  <cp:lastModifiedBy>浙江鸿银项目管理有限公司</cp:lastModifiedBy>
  <cp:lastPrinted>2018-08-15T04:39:00Z</cp:lastPrinted>
  <dcterms:modified xsi:type="dcterms:W3CDTF">2019-10-21T02:41:04Z</dcterms:modified>
  <dc:title>温州市政府采购</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2052-10.1.0.7521</vt:lpwstr>
  </property>
</Properties>
</file>